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3A0F" w14:textId="4B592923" w:rsidR="00C22E68" w:rsidRPr="00091077" w:rsidRDefault="00570BA0" w:rsidP="00C22E68">
      <w:pPr>
        <w:tabs>
          <w:tab w:val="num" w:pos="720"/>
        </w:tabs>
        <w:spacing w:after="0" w:line="240" w:lineRule="auto"/>
        <w:jc w:val="right"/>
        <w:rPr>
          <w:rFonts w:cstheme="minorHAnsi"/>
          <w:color w:val="000000" w:themeColor="text1"/>
        </w:rPr>
      </w:pPr>
      <w:r w:rsidRPr="00522402">
        <w:rPr>
          <w:rFonts w:cstheme="minorHAnsi"/>
          <w:color w:val="000000" w:themeColor="text1"/>
        </w:rPr>
        <w:t>December 1</w:t>
      </w:r>
      <w:r w:rsidR="00C4446F">
        <w:rPr>
          <w:rFonts w:cstheme="minorHAnsi"/>
          <w:color w:val="000000" w:themeColor="text1"/>
        </w:rPr>
        <w:t>5</w:t>
      </w:r>
      <w:r w:rsidRPr="00522402">
        <w:rPr>
          <w:rFonts w:cstheme="minorHAnsi"/>
          <w:color w:val="000000" w:themeColor="text1"/>
        </w:rPr>
        <w:t>, 2023</w:t>
      </w:r>
    </w:p>
    <w:p w14:paraId="2FCB0081" w14:textId="77777777" w:rsidR="00C22E68" w:rsidRPr="00091077" w:rsidRDefault="00C22E68" w:rsidP="00C22E68">
      <w:pPr>
        <w:tabs>
          <w:tab w:val="num" w:pos="720"/>
        </w:tabs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448"/>
      </w:tblGrid>
      <w:tr w:rsidR="00C22E68" w:rsidRPr="00091077" w14:paraId="5BCEAE15" w14:textId="77777777" w:rsidTr="00371F57">
        <w:tc>
          <w:tcPr>
            <w:tcW w:w="5310" w:type="dxa"/>
          </w:tcPr>
          <w:p w14:paraId="57FFCA47" w14:textId="2D1F3B9A" w:rsidR="00C22E68" w:rsidRPr="00091077" w:rsidRDefault="00091077" w:rsidP="00091077">
            <w:r w:rsidRPr="00091077">
              <w:rPr>
                <w:rFonts w:cstheme="minorHAnsi"/>
                <w:b/>
                <w:bCs/>
                <w:color w:val="212121"/>
                <w:shd w:val="clear" w:color="auto" w:fill="FFFFFF"/>
              </w:rPr>
              <w:t>To:</w:t>
            </w:r>
            <w:r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r w:rsidRPr="00091077">
              <w:t>Docket No.</w:t>
            </w:r>
            <w:r w:rsidR="0060655E">
              <w:t xml:space="preserve"> </w:t>
            </w:r>
            <w:r w:rsidR="0060655E" w:rsidRPr="0060655E">
              <w:t>EERE</w:t>
            </w:r>
            <w:r w:rsidR="0060655E">
              <w:t>-</w:t>
            </w:r>
            <w:r w:rsidR="0060655E" w:rsidRPr="0060655E">
              <w:t>2021</w:t>
            </w:r>
            <w:r w:rsidR="0060655E">
              <w:t>-</w:t>
            </w:r>
            <w:r w:rsidR="0060655E" w:rsidRPr="0060655E">
              <w:t>VT</w:t>
            </w:r>
            <w:r w:rsidR="0060655E">
              <w:t>-</w:t>
            </w:r>
            <w:r w:rsidR="0060655E" w:rsidRPr="0060655E">
              <w:t>0033</w:t>
            </w:r>
          </w:p>
        </w:tc>
        <w:tc>
          <w:tcPr>
            <w:tcW w:w="4760" w:type="dxa"/>
          </w:tcPr>
          <w:p w14:paraId="1A9EDE9B" w14:textId="2A6A61B6" w:rsidR="00C22E68" w:rsidRPr="00091077" w:rsidRDefault="00C22E68" w:rsidP="00371F57">
            <w:pPr>
              <w:tabs>
                <w:tab w:val="num" w:pos="720"/>
              </w:tabs>
              <w:rPr>
                <w:rFonts w:cstheme="minorHAnsi"/>
                <w:color w:val="212121"/>
                <w:shd w:val="clear" w:color="auto" w:fill="FFFFFF"/>
              </w:rPr>
            </w:pPr>
          </w:p>
        </w:tc>
      </w:tr>
    </w:tbl>
    <w:p w14:paraId="44F81DB2" w14:textId="77777777" w:rsidR="00C22E68" w:rsidRPr="00091077" w:rsidRDefault="00C22E68" w:rsidP="00C22E68">
      <w:pPr>
        <w:tabs>
          <w:tab w:val="num" w:pos="720"/>
        </w:tabs>
        <w:spacing w:after="0" w:line="240" w:lineRule="auto"/>
        <w:rPr>
          <w:rFonts w:cstheme="minorHAnsi"/>
          <w:color w:val="000000" w:themeColor="text1"/>
        </w:rPr>
      </w:pPr>
    </w:p>
    <w:p w14:paraId="03BEBF66" w14:textId="04348DBE" w:rsidR="00607776" w:rsidRPr="00091077" w:rsidRDefault="00C85848" w:rsidP="000910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091077">
        <w:rPr>
          <w:rFonts w:ascii="Calibri-Bold" w:hAnsi="Calibri-Bold" w:cs="Calibri-Bold"/>
          <w:b/>
          <w:bCs/>
        </w:rPr>
        <w:t xml:space="preserve">Subject: </w:t>
      </w:r>
      <w:r w:rsidRPr="00091077">
        <w:rPr>
          <w:rFonts w:ascii="Calibri-Bold" w:hAnsi="Calibri-Bold" w:cs="Calibri-Bold"/>
        </w:rPr>
        <w:t xml:space="preserve">Ex Parte Meeting Between General Motors and the U.S. Department of </w:t>
      </w:r>
      <w:r w:rsidR="00570BA0">
        <w:rPr>
          <w:rFonts w:ascii="Calibri-Bold" w:hAnsi="Calibri-Bold" w:cs="Calibri-Bold"/>
        </w:rPr>
        <w:t>Energy</w:t>
      </w:r>
      <w:r w:rsidR="00570BA0" w:rsidRPr="00091077">
        <w:rPr>
          <w:rFonts w:ascii="Calibri-Bold" w:hAnsi="Calibri-Bold" w:cs="Calibri-Bold"/>
        </w:rPr>
        <w:t xml:space="preserve"> </w:t>
      </w:r>
      <w:r w:rsidRPr="00091077">
        <w:rPr>
          <w:rFonts w:ascii="Calibri-Bold" w:hAnsi="Calibri-Bold" w:cs="Calibri-Bold"/>
        </w:rPr>
        <w:t xml:space="preserve">Regarding the </w:t>
      </w:r>
      <w:r w:rsidR="00570BA0">
        <w:rPr>
          <w:rFonts w:ascii="Calibri-Bold" w:hAnsi="Calibri-Bold" w:cs="Calibri-Bold"/>
        </w:rPr>
        <w:t>Department of Energy</w:t>
      </w:r>
      <w:r w:rsidRPr="00091077">
        <w:rPr>
          <w:rFonts w:ascii="Calibri-Bold" w:hAnsi="Calibri-Bold" w:cs="Calibri-Bold"/>
        </w:rPr>
        <w:t xml:space="preserve">’s Proposed </w:t>
      </w:r>
      <w:r w:rsidR="00570BA0">
        <w:rPr>
          <w:rFonts w:ascii="Calibri-Bold" w:hAnsi="Calibri-Bold" w:cs="Calibri-Bold"/>
        </w:rPr>
        <w:t>Petroleum-Equivalent Fuel Economy Calculation, 88 Fed. Reg. 21525 (April 11, 2023)</w:t>
      </w:r>
      <w:r w:rsidR="00713C77">
        <w:rPr>
          <w:rFonts w:ascii="Calibri-Bold" w:hAnsi="Calibri-Bold" w:cs="Calibri-Bold"/>
        </w:rPr>
        <w:t>.</w:t>
      </w:r>
    </w:p>
    <w:p w14:paraId="06BD849A" w14:textId="5979106E" w:rsidR="00C85848" w:rsidRDefault="00C85848" w:rsidP="00C8584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highlight w:val="green"/>
        </w:rPr>
      </w:pPr>
    </w:p>
    <w:p w14:paraId="14783B28" w14:textId="2CDDD4D2" w:rsidR="00091077" w:rsidRDefault="00091077" w:rsidP="00C8584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091077">
        <w:rPr>
          <w:rFonts w:ascii="Calibri-Bold" w:hAnsi="Calibri-Bold" w:cs="Calibri-Bold"/>
          <w:b/>
          <w:bCs/>
        </w:rPr>
        <w:t xml:space="preserve">Attendees: </w:t>
      </w:r>
    </w:p>
    <w:p w14:paraId="553A481E" w14:textId="77777777" w:rsidR="00091077" w:rsidRPr="00091077" w:rsidRDefault="00091077" w:rsidP="00C8584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12"/>
          <w:szCs w:val="12"/>
        </w:rPr>
      </w:pPr>
    </w:p>
    <w:tbl>
      <w:tblPr>
        <w:tblStyle w:val="TableGrid"/>
        <w:tblW w:w="935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22E68" w:rsidRPr="00091077" w14:paraId="03F97CE3" w14:textId="77777777" w:rsidTr="00091077">
        <w:tc>
          <w:tcPr>
            <w:tcW w:w="1870" w:type="dxa"/>
          </w:tcPr>
          <w:p w14:paraId="595B9402" w14:textId="6C875923" w:rsidR="00C22E68" w:rsidRPr="00091077" w:rsidRDefault="00091077" w:rsidP="00091077">
            <w:pPr>
              <w:ind w:hanging="105"/>
              <w:rPr>
                <w:u w:val="single"/>
              </w:rPr>
            </w:pPr>
            <w:r w:rsidRPr="00091077">
              <w:rPr>
                <w:u w:val="single"/>
              </w:rPr>
              <w:t>For GM</w:t>
            </w:r>
            <w:r w:rsidR="00C22E68" w:rsidRPr="00091077">
              <w:rPr>
                <w:u w:val="single"/>
              </w:rPr>
              <w:t xml:space="preserve"> </w:t>
            </w:r>
          </w:p>
        </w:tc>
        <w:tc>
          <w:tcPr>
            <w:tcW w:w="1870" w:type="dxa"/>
          </w:tcPr>
          <w:p w14:paraId="294A0551" w14:textId="77777777" w:rsidR="00C22E68" w:rsidRPr="00091077" w:rsidRDefault="00C22E68" w:rsidP="00C85848">
            <w:pPr>
              <w:ind w:hanging="105"/>
            </w:pPr>
          </w:p>
        </w:tc>
        <w:tc>
          <w:tcPr>
            <w:tcW w:w="1870" w:type="dxa"/>
          </w:tcPr>
          <w:p w14:paraId="17BAC02E" w14:textId="77777777" w:rsidR="00C22E68" w:rsidRPr="00091077" w:rsidRDefault="00C22E68" w:rsidP="00C85848">
            <w:pPr>
              <w:ind w:hanging="105"/>
            </w:pPr>
          </w:p>
        </w:tc>
        <w:tc>
          <w:tcPr>
            <w:tcW w:w="1870" w:type="dxa"/>
          </w:tcPr>
          <w:p w14:paraId="726B70AF" w14:textId="77777777" w:rsidR="00C22E68" w:rsidRPr="00091077" w:rsidRDefault="00C22E68" w:rsidP="00C85848">
            <w:pPr>
              <w:ind w:hanging="105"/>
            </w:pPr>
          </w:p>
        </w:tc>
        <w:tc>
          <w:tcPr>
            <w:tcW w:w="1870" w:type="dxa"/>
          </w:tcPr>
          <w:p w14:paraId="1ECEF0D2" w14:textId="77777777" w:rsidR="00C22E68" w:rsidRPr="00091077" w:rsidRDefault="00C22E68" w:rsidP="00C85848">
            <w:pPr>
              <w:ind w:hanging="105"/>
            </w:pPr>
          </w:p>
        </w:tc>
      </w:tr>
      <w:tr w:rsidR="00C22E68" w:rsidRPr="00091077" w14:paraId="086402A9" w14:textId="77777777" w:rsidTr="00091077">
        <w:tc>
          <w:tcPr>
            <w:tcW w:w="1870" w:type="dxa"/>
          </w:tcPr>
          <w:p w14:paraId="1538C6B7" w14:textId="6F2E6100" w:rsidR="00C22E68" w:rsidRPr="00091077" w:rsidRDefault="00570BA0" w:rsidP="00C85848">
            <w:pPr>
              <w:ind w:hanging="105"/>
            </w:pPr>
            <w:r w:rsidRPr="00091077">
              <w:t>Matthew Rudnick</w:t>
            </w:r>
          </w:p>
        </w:tc>
        <w:tc>
          <w:tcPr>
            <w:tcW w:w="1870" w:type="dxa"/>
          </w:tcPr>
          <w:p w14:paraId="3E2C2170" w14:textId="0F78FDE5" w:rsidR="00C22E68" w:rsidRPr="00091077" w:rsidRDefault="00570BA0" w:rsidP="00C85848">
            <w:pPr>
              <w:ind w:hanging="105"/>
            </w:pPr>
            <w:r w:rsidRPr="00091077">
              <w:t>Nic</w:t>
            </w:r>
            <w:r w:rsidR="00C10456">
              <w:t>h</w:t>
            </w:r>
            <w:r w:rsidRPr="00091077">
              <w:t>olas Lutsey</w:t>
            </w:r>
          </w:p>
        </w:tc>
        <w:tc>
          <w:tcPr>
            <w:tcW w:w="1870" w:type="dxa"/>
          </w:tcPr>
          <w:p w14:paraId="3E0BA00D" w14:textId="0FB83DE5" w:rsidR="00C22E68" w:rsidRPr="00091077" w:rsidRDefault="00713C77" w:rsidP="00C85848">
            <w:pPr>
              <w:ind w:hanging="105"/>
            </w:pPr>
            <w:r>
              <w:t>Joseph Guzzo</w:t>
            </w:r>
          </w:p>
        </w:tc>
        <w:tc>
          <w:tcPr>
            <w:tcW w:w="1870" w:type="dxa"/>
          </w:tcPr>
          <w:p w14:paraId="5F07EECF" w14:textId="2A2B3C34" w:rsidR="00C22E68" w:rsidRPr="00091077" w:rsidRDefault="00713C77" w:rsidP="00C85848">
            <w:pPr>
              <w:ind w:hanging="105"/>
            </w:pPr>
            <w:r>
              <w:t>Marcello Mollo</w:t>
            </w:r>
          </w:p>
        </w:tc>
        <w:tc>
          <w:tcPr>
            <w:tcW w:w="1870" w:type="dxa"/>
          </w:tcPr>
          <w:p w14:paraId="4E615E1B" w14:textId="77777777" w:rsidR="00C22E68" w:rsidRPr="00091077" w:rsidRDefault="00C22E68" w:rsidP="00C85848">
            <w:pPr>
              <w:ind w:hanging="105"/>
            </w:pPr>
          </w:p>
        </w:tc>
      </w:tr>
      <w:tr w:rsidR="00C22E68" w:rsidRPr="00091077" w14:paraId="6DDF4932" w14:textId="77777777" w:rsidTr="00091077">
        <w:tc>
          <w:tcPr>
            <w:tcW w:w="1870" w:type="dxa"/>
          </w:tcPr>
          <w:p w14:paraId="3B924775" w14:textId="77777777" w:rsidR="00DF4E51" w:rsidRPr="00091077" w:rsidRDefault="00DF4E51" w:rsidP="00C85848">
            <w:pPr>
              <w:ind w:hanging="105"/>
              <w:rPr>
                <w:b/>
                <w:bCs/>
                <w:sz w:val="12"/>
                <w:szCs w:val="12"/>
              </w:rPr>
            </w:pPr>
          </w:p>
          <w:p w14:paraId="7FC6C07E" w14:textId="50BAF38A" w:rsidR="00C22E68" w:rsidRPr="00091077" w:rsidRDefault="00091077" w:rsidP="00C85848">
            <w:pPr>
              <w:ind w:hanging="105"/>
              <w:rPr>
                <w:u w:val="single"/>
              </w:rPr>
            </w:pPr>
            <w:r w:rsidRPr="00091077">
              <w:rPr>
                <w:u w:val="single"/>
              </w:rPr>
              <w:t>For DO</w:t>
            </w:r>
            <w:r w:rsidR="00F76640">
              <w:rPr>
                <w:u w:val="single"/>
              </w:rPr>
              <w:t>E</w:t>
            </w:r>
            <w:r w:rsidR="00C22E68" w:rsidRPr="00091077">
              <w:rPr>
                <w:u w:val="single"/>
              </w:rPr>
              <w:t xml:space="preserve"> </w:t>
            </w:r>
          </w:p>
        </w:tc>
        <w:tc>
          <w:tcPr>
            <w:tcW w:w="1870" w:type="dxa"/>
          </w:tcPr>
          <w:p w14:paraId="06D39D56" w14:textId="77777777" w:rsidR="00C22E68" w:rsidRPr="00091077" w:rsidRDefault="00C22E68" w:rsidP="00C85848">
            <w:pPr>
              <w:ind w:hanging="105"/>
            </w:pPr>
          </w:p>
        </w:tc>
        <w:tc>
          <w:tcPr>
            <w:tcW w:w="1870" w:type="dxa"/>
          </w:tcPr>
          <w:p w14:paraId="7F478D95" w14:textId="77777777" w:rsidR="00C22E68" w:rsidRPr="00091077" w:rsidRDefault="00C22E68" w:rsidP="00C85848">
            <w:pPr>
              <w:ind w:hanging="105"/>
            </w:pPr>
          </w:p>
        </w:tc>
        <w:tc>
          <w:tcPr>
            <w:tcW w:w="1870" w:type="dxa"/>
          </w:tcPr>
          <w:p w14:paraId="770F86CF" w14:textId="77777777" w:rsidR="00C22E68" w:rsidRPr="00091077" w:rsidRDefault="00C22E68" w:rsidP="00C85848">
            <w:pPr>
              <w:ind w:hanging="105"/>
            </w:pPr>
          </w:p>
        </w:tc>
        <w:tc>
          <w:tcPr>
            <w:tcW w:w="1870" w:type="dxa"/>
          </w:tcPr>
          <w:p w14:paraId="29B3B2CE" w14:textId="77777777" w:rsidR="00C22E68" w:rsidRPr="00091077" w:rsidRDefault="00C22E68" w:rsidP="00C85848">
            <w:pPr>
              <w:ind w:hanging="105"/>
            </w:pPr>
          </w:p>
        </w:tc>
      </w:tr>
      <w:tr w:rsidR="00C22E68" w:rsidRPr="00091077" w14:paraId="1C63B55D" w14:textId="77777777" w:rsidTr="00091077">
        <w:tc>
          <w:tcPr>
            <w:tcW w:w="1870" w:type="dxa"/>
          </w:tcPr>
          <w:p w14:paraId="2A08047E" w14:textId="697ADE86" w:rsidR="00C22E68" w:rsidRPr="00091077" w:rsidRDefault="00570BA0" w:rsidP="00C85848">
            <w:pPr>
              <w:ind w:hanging="105"/>
            </w:pPr>
            <w:r>
              <w:t>Austin Brown</w:t>
            </w:r>
          </w:p>
        </w:tc>
        <w:tc>
          <w:tcPr>
            <w:tcW w:w="1870" w:type="dxa"/>
          </w:tcPr>
          <w:p w14:paraId="10A11D09" w14:textId="0330FF56" w:rsidR="00C22E68" w:rsidRPr="00091077" w:rsidRDefault="00570BA0" w:rsidP="00C85848">
            <w:pPr>
              <w:ind w:hanging="105"/>
            </w:pPr>
            <w:r>
              <w:t>Kevin Stork</w:t>
            </w:r>
          </w:p>
        </w:tc>
        <w:tc>
          <w:tcPr>
            <w:tcW w:w="1870" w:type="dxa"/>
          </w:tcPr>
          <w:p w14:paraId="0FE38BC8" w14:textId="369BA517" w:rsidR="00C22E68" w:rsidRPr="00091077" w:rsidRDefault="00570BA0" w:rsidP="00C85848">
            <w:pPr>
              <w:ind w:hanging="105"/>
            </w:pPr>
            <w:r>
              <w:t>Ami Grace-Tardy</w:t>
            </w:r>
          </w:p>
        </w:tc>
        <w:tc>
          <w:tcPr>
            <w:tcW w:w="1870" w:type="dxa"/>
          </w:tcPr>
          <w:p w14:paraId="27764343" w14:textId="6571353B" w:rsidR="00C22E68" w:rsidRPr="00091077" w:rsidRDefault="00C22E68" w:rsidP="00C85848">
            <w:pPr>
              <w:ind w:hanging="105"/>
            </w:pPr>
          </w:p>
        </w:tc>
        <w:tc>
          <w:tcPr>
            <w:tcW w:w="1870" w:type="dxa"/>
          </w:tcPr>
          <w:p w14:paraId="7EFF1F61" w14:textId="34FD2957" w:rsidR="00C22E68" w:rsidRPr="00091077" w:rsidRDefault="00C22E68" w:rsidP="00C85848">
            <w:pPr>
              <w:ind w:hanging="105"/>
            </w:pPr>
          </w:p>
        </w:tc>
      </w:tr>
      <w:tr w:rsidR="00570BA0" w:rsidRPr="00091077" w14:paraId="7DD1E29C" w14:textId="77777777" w:rsidTr="00091077">
        <w:tc>
          <w:tcPr>
            <w:tcW w:w="1870" w:type="dxa"/>
          </w:tcPr>
          <w:p w14:paraId="383184A1" w14:textId="22F228B8" w:rsidR="00570BA0" w:rsidRPr="00091077" w:rsidRDefault="00570BA0" w:rsidP="00713C77"/>
        </w:tc>
        <w:tc>
          <w:tcPr>
            <w:tcW w:w="1870" w:type="dxa"/>
          </w:tcPr>
          <w:p w14:paraId="5EB9F824" w14:textId="1193A1F3" w:rsidR="00570BA0" w:rsidRPr="00091077" w:rsidRDefault="00570BA0" w:rsidP="00C85848">
            <w:pPr>
              <w:ind w:hanging="105"/>
            </w:pPr>
          </w:p>
        </w:tc>
        <w:tc>
          <w:tcPr>
            <w:tcW w:w="1870" w:type="dxa"/>
          </w:tcPr>
          <w:p w14:paraId="1F716D40" w14:textId="31530DBA" w:rsidR="00570BA0" w:rsidRPr="00091077" w:rsidRDefault="00570BA0" w:rsidP="00C85848">
            <w:pPr>
              <w:ind w:hanging="105"/>
            </w:pPr>
          </w:p>
        </w:tc>
        <w:tc>
          <w:tcPr>
            <w:tcW w:w="1870" w:type="dxa"/>
          </w:tcPr>
          <w:p w14:paraId="5D78E081" w14:textId="59DC8CD0" w:rsidR="00570BA0" w:rsidRPr="00091077" w:rsidRDefault="00570BA0" w:rsidP="00C85848">
            <w:pPr>
              <w:ind w:hanging="105"/>
            </w:pPr>
          </w:p>
        </w:tc>
        <w:tc>
          <w:tcPr>
            <w:tcW w:w="1870" w:type="dxa"/>
          </w:tcPr>
          <w:p w14:paraId="01498DCF" w14:textId="72460B50" w:rsidR="00570BA0" w:rsidRPr="00091077" w:rsidRDefault="00570BA0" w:rsidP="00C85848">
            <w:pPr>
              <w:ind w:hanging="105"/>
            </w:pPr>
          </w:p>
        </w:tc>
      </w:tr>
      <w:tr w:rsidR="00570BA0" w:rsidRPr="00091077" w14:paraId="57F5097D" w14:textId="77777777" w:rsidTr="00091077">
        <w:tc>
          <w:tcPr>
            <w:tcW w:w="1870" w:type="dxa"/>
          </w:tcPr>
          <w:p w14:paraId="77EF8583" w14:textId="758613DE" w:rsidR="00570BA0" w:rsidRPr="00091077" w:rsidRDefault="00570BA0" w:rsidP="00C85848">
            <w:pPr>
              <w:ind w:hanging="105"/>
            </w:pPr>
          </w:p>
        </w:tc>
        <w:tc>
          <w:tcPr>
            <w:tcW w:w="1870" w:type="dxa"/>
          </w:tcPr>
          <w:p w14:paraId="3AE1EE4C" w14:textId="519BFB78" w:rsidR="00570BA0" w:rsidRPr="00091077" w:rsidRDefault="00570BA0" w:rsidP="00C85848">
            <w:pPr>
              <w:ind w:hanging="105"/>
            </w:pPr>
          </w:p>
        </w:tc>
        <w:tc>
          <w:tcPr>
            <w:tcW w:w="1870" w:type="dxa"/>
          </w:tcPr>
          <w:p w14:paraId="087FAF42" w14:textId="5BF0AA2C" w:rsidR="00570BA0" w:rsidRPr="00091077" w:rsidRDefault="00570BA0" w:rsidP="00C85848">
            <w:pPr>
              <w:ind w:hanging="105"/>
            </w:pPr>
          </w:p>
        </w:tc>
        <w:tc>
          <w:tcPr>
            <w:tcW w:w="1870" w:type="dxa"/>
          </w:tcPr>
          <w:p w14:paraId="25731BB2" w14:textId="5CE1FB2D" w:rsidR="00570BA0" w:rsidRPr="00091077" w:rsidRDefault="00570BA0" w:rsidP="00C85848">
            <w:pPr>
              <w:ind w:hanging="105"/>
            </w:pPr>
          </w:p>
        </w:tc>
        <w:tc>
          <w:tcPr>
            <w:tcW w:w="1870" w:type="dxa"/>
          </w:tcPr>
          <w:p w14:paraId="4BFA2F4A" w14:textId="646DC5C3" w:rsidR="00570BA0" w:rsidRPr="00091077" w:rsidRDefault="00570BA0" w:rsidP="00C85848">
            <w:pPr>
              <w:ind w:hanging="105"/>
            </w:pPr>
          </w:p>
        </w:tc>
      </w:tr>
    </w:tbl>
    <w:p w14:paraId="25982797" w14:textId="26DB7887" w:rsidR="00C85848" w:rsidRDefault="00091077" w:rsidP="00C22E68">
      <w:r>
        <w:t xml:space="preserve">Consistent with the Department of </w:t>
      </w:r>
      <w:r w:rsidR="00570BA0">
        <w:t xml:space="preserve">Energy’s Guidance on </w:t>
      </w:r>
      <w:r>
        <w:t>Ex Parte Communications</w:t>
      </w:r>
      <w:r w:rsidR="00E37FB2">
        <w:t xml:space="preserve">, General Motors (“GM”) </w:t>
      </w:r>
      <w:r w:rsidR="004220C5">
        <w:t>submits this memorandum to</w:t>
      </w:r>
      <w:r w:rsidR="00E37FB2">
        <w:t xml:space="preserve"> the subject rulemaking docket.  </w:t>
      </w:r>
      <w:r w:rsidR="00C85848" w:rsidRPr="00091077">
        <w:t xml:space="preserve">On </w:t>
      </w:r>
      <w:r w:rsidR="00713C77">
        <w:t>Friday</w:t>
      </w:r>
      <w:r w:rsidR="00E37FB2">
        <w:t xml:space="preserve">, </w:t>
      </w:r>
      <w:r w:rsidR="00713C77">
        <w:t>December 8</w:t>
      </w:r>
      <w:r w:rsidR="00F76640">
        <w:t>, 2023</w:t>
      </w:r>
      <w:r w:rsidR="00C85848" w:rsidRPr="00091077">
        <w:t>, GM</w:t>
      </w:r>
      <w:r w:rsidR="00E37FB2">
        <w:t xml:space="preserve"> </w:t>
      </w:r>
      <w:r w:rsidR="00C85848" w:rsidRPr="00091077">
        <w:t xml:space="preserve">and the Department of </w:t>
      </w:r>
      <w:r w:rsidR="00713C77">
        <w:t>Energy</w:t>
      </w:r>
      <w:r w:rsidR="00713C77" w:rsidRPr="00091077">
        <w:t xml:space="preserve"> </w:t>
      </w:r>
      <w:r w:rsidR="00C85848" w:rsidRPr="00091077">
        <w:t xml:space="preserve">met to discuss GM’s </w:t>
      </w:r>
      <w:r w:rsidR="00E37FB2">
        <w:t xml:space="preserve">comments submitted on the </w:t>
      </w:r>
      <w:r w:rsidR="00713C77">
        <w:t xml:space="preserve">Department of Energy’s </w:t>
      </w:r>
      <w:r w:rsidR="00713C77" w:rsidRPr="00091077">
        <w:rPr>
          <w:rFonts w:ascii="Calibri-Bold" w:hAnsi="Calibri-Bold" w:cs="Calibri-Bold"/>
        </w:rPr>
        <w:t xml:space="preserve">Proposed </w:t>
      </w:r>
      <w:r w:rsidR="00713C77">
        <w:rPr>
          <w:rFonts w:ascii="Calibri-Bold" w:hAnsi="Calibri-Bold" w:cs="Calibri-Bold"/>
        </w:rPr>
        <w:t>Petroleum-Equivalent Fuel Economy Calculation, 88 Fed. Reg. 21525 (April 11, 2023)</w:t>
      </w:r>
      <w:r w:rsidR="00E37FB2">
        <w:t>.</w:t>
      </w:r>
      <w:r w:rsidR="00CA018A">
        <w:rPr>
          <w:rStyle w:val="FootnoteReference"/>
        </w:rPr>
        <w:footnoteReference w:id="1"/>
      </w:r>
      <w:r w:rsidR="00E37FB2">
        <w:t xml:space="preserve">  </w:t>
      </w:r>
    </w:p>
    <w:p w14:paraId="4B7C9C87" w14:textId="2876DC91" w:rsidR="00E37FB2" w:rsidRDefault="00E37FB2" w:rsidP="00C22E68">
      <w:r>
        <w:rPr>
          <w:b/>
          <w:bCs/>
        </w:rPr>
        <w:t>Agenda</w:t>
      </w:r>
      <w:r>
        <w:t xml:space="preserve">: </w:t>
      </w:r>
    </w:p>
    <w:p w14:paraId="72F86D2E" w14:textId="671CB368" w:rsidR="00E37FB2" w:rsidRDefault="00E37FB2" w:rsidP="00E37FB2">
      <w:pPr>
        <w:pStyle w:val="ListParagraph"/>
        <w:numPr>
          <w:ilvl w:val="0"/>
          <w:numId w:val="1"/>
        </w:numPr>
      </w:pPr>
      <w:r>
        <w:t xml:space="preserve">Summary of Comments on Proposal </w:t>
      </w:r>
    </w:p>
    <w:p w14:paraId="531B969D" w14:textId="17CFA795" w:rsidR="00E37FB2" w:rsidRDefault="00E37FB2" w:rsidP="00E37FB2">
      <w:pPr>
        <w:pStyle w:val="ListParagraph"/>
        <w:numPr>
          <w:ilvl w:val="0"/>
          <w:numId w:val="1"/>
        </w:numPr>
      </w:pPr>
      <w:r>
        <w:t xml:space="preserve">Discussion of Confidential Business Information </w:t>
      </w:r>
    </w:p>
    <w:p w14:paraId="145CB275" w14:textId="36633BDA" w:rsidR="00145EAF" w:rsidRDefault="00145EAF" w:rsidP="00E37FB2">
      <w:pPr>
        <w:pStyle w:val="ListParagraph"/>
        <w:numPr>
          <w:ilvl w:val="0"/>
          <w:numId w:val="1"/>
        </w:numPr>
      </w:pPr>
      <w:r>
        <w:t xml:space="preserve">Modelling Assumptions and Logic </w:t>
      </w:r>
    </w:p>
    <w:p w14:paraId="17FBF05E" w14:textId="1F69658F" w:rsidR="00145EAF" w:rsidRDefault="00145EAF" w:rsidP="00145EAF"/>
    <w:p w14:paraId="550DE51A" w14:textId="77777777" w:rsidR="00145EAF" w:rsidRDefault="00145EAF" w:rsidP="00145EAF">
      <w:pPr>
        <w:rPr>
          <w:b/>
          <w:bCs/>
        </w:rPr>
      </w:pPr>
    </w:p>
    <w:p w14:paraId="523EA9A8" w14:textId="77777777" w:rsidR="00145EAF" w:rsidRDefault="00145EAF" w:rsidP="00145EAF">
      <w:pPr>
        <w:rPr>
          <w:b/>
          <w:bCs/>
        </w:rPr>
      </w:pPr>
    </w:p>
    <w:p w14:paraId="0944A26A" w14:textId="77777777" w:rsidR="00145EAF" w:rsidRDefault="00145EAF" w:rsidP="00145EAF">
      <w:pPr>
        <w:rPr>
          <w:b/>
          <w:bCs/>
        </w:rPr>
      </w:pPr>
    </w:p>
    <w:p w14:paraId="40D6FF52" w14:textId="77777777" w:rsidR="00145EAF" w:rsidRDefault="00145EAF" w:rsidP="00145EAF">
      <w:pPr>
        <w:rPr>
          <w:b/>
          <w:bCs/>
        </w:rPr>
      </w:pPr>
    </w:p>
    <w:p w14:paraId="123963C9" w14:textId="77777777" w:rsidR="00145EAF" w:rsidRDefault="00145EAF" w:rsidP="00145EAF">
      <w:pPr>
        <w:rPr>
          <w:b/>
          <w:bCs/>
        </w:rPr>
      </w:pPr>
    </w:p>
    <w:p w14:paraId="1639C2AE" w14:textId="77777777" w:rsidR="00145EAF" w:rsidRDefault="00145EAF" w:rsidP="00145EAF">
      <w:pPr>
        <w:rPr>
          <w:b/>
          <w:bCs/>
        </w:rPr>
      </w:pPr>
    </w:p>
    <w:p w14:paraId="48C0282F" w14:textId="14AB51A1" w:rsidR="00C85848" w:rsidRPr="00091077" w:rsidRDefault="00C85848" w:rsidP="00C85848"/>
    <w:sectPr w:rsidR="00C85848" w:rsidRPr="00091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514E" w14:textId="77777777" w:rsidR="008478A4" w:rsidRDefault="008478A4" w:rsidP="00C22E68">
      <w:pPr>
        <w:spacing w:after="0" w:line="240" w:lineRule="auto"/>
      </w:pPr>
      <w:r>
        <w:separator/>
      </w:r>
    </w:p>
  </w:endnote>
  <w:endnote w:type="continuationSeparator" w:id="0">
    <w:p w14:paraId="10B343B9" w14:textId="77777777" w:rsidR="008478A4" w:rsidRDefault="008478A4" w:rsidP="00C2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5FD6" w14:textId="77777777" w:rsidR="008478A4" w:rsidRDefault="008478A4" w:rsidP="00C22E68">
      <w:pPr>
        <w:spacing w:after="0" w:line="240" w:lineRule="auto"/>
      </w:pPr>
      <w:r>
        <w:separator/>
      </w:r>
    </w:p>
  </w:footnote>
  <w:footnote w:type="continuationSeparator" w:id="0">
    <w:p w14:paraId="7D796A6D" w14:textId="77777777" w:rsidR="008478A4" w:rsidRDefault="008478A4" w:rsidP="00C22E68">
      <w:pPr>
        <w:spacing w:after="0" w:line="240" w:lineRule="auto"/>
      </w:pPr>
      <w:r>
        <w:continuationSeparator/>
      </w:r>
    </w:p>
  </w:footnote>
  <w:footnote w:id="1">
    <w:p w14:paraId="14E739AB" w14:textId="505D6239" w:rsidR="00CA018A" w:rsidRDefault="00CA018A">
      <w:pPr>
        <w:pStyle w:val="FootnoteText"/>
      </w:pPr>
      <w:r>
        <w:rPr>
          <w:rStyle w:val="FootnoteReference"/>
        </w:rPr>
        <w:footnoteRef/>
      </w:r>
      <w:r>
        <w:t xml:space="preserve"> Materials </w:t>
      </w:r>
      <w:r w:rsidR="00713C77">
        <w:t>discuss</w:t>
      </w:r>
      <w:r>
        <w:t xml:space="preserve">ed during this meeting have already been submitted to the docket for this rulemaking as part of GM’s comments on the proposal.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D50"/>
    <w:multiLevelType w:val="hybridMultilevel"/>
    <w:tmpl w:val="64E87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68"/>
    <w:rsid w:val="00041F1A"/>
    <w:rsid w:val="00091077"/>
    <w:rsid w:val="000D4682"/>
    <w:rsid w:val="000F0DFC"/>
    <w:rsid w:val="00142F13"/>
    <w:rsid w:val="00145EAF"/>
    <w:rsid w:val="004220C5"/>
    <w:rsid w:val="00481ECF"/>
    <w:rsid w:val="00522402"/>
    <w:rsid w:val="00570BA0"/>
    <w:rsid w:val="00573209"/>
    <w:rsid w:val="0060655E"/>
    <w:rsid w:val="00607776"/>
    <w:rsid w:val="006766D5"/>
    <w:rsid w:val="00681BD7"/>
    <w:rsid w:val="006875D1"/>
    <w:rsid w:val="00713C77"/>
    <w:rsid w:val="008478A4"/>
    <w:rsid w:val="0093256D"/>
    <w:rsid w:val="009D2EBA"/>
    <w:rsid w:val="00A90A1C"/>
    <w:rsid w:val="00AF0CBD"/>
    <w:rsid w:val="00AF3D56"/>
    <w:rsid w:val="00C10456"/>
    <w:rsid w:val="00C22E68"/>
    <w:rsid w:val="00C4446F"/>
    <w:rsid w:val="00C713B8"/>
    <w:rsid w:val="00C85848"/>
    <w:rsid w:val="00CA018A"/>
    <w:rsid w:val="00CA23E3"/>
    <w:rsid w:val="00DF4E51"/>
    <w:rsid w:val="00E37FB2"/>
    <w:rsid w:val="00F76640"/>
    <w:rsid w:val="00F9320C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2B37"/>
  <w15:chartTrackingRefBased/>
  <w15:docId w15:val="{C4D38F43-9D4C-4A42-80A2-39DF15A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2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E68"/>
    <w:rPr>
      <w:sz w:val="20"/>
      <w:szCs w:val="20"/>
    </w:rPr>
  </w:style>
  <w:style w:type="table" w:styleId="TableGrid">
    <w:name w:val="Table Grid"/>
    <w:basedOn w:val="TableNormal"/>
    <w:uiPriority w:val="39"/>
    <w:rsid w:val="00C2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48"/>
  </w:style>
  <w:style w:type="paragraph" w:styleId="Footer">
    <w:name w:val="footer"/>
    <w:basedOn w:val="Normal"/>
    <w:link w:val="FooterChar"/>
    <w:uiPriority w:val="99"/>
    <w:unhideWhenUsed/>
    <w:rsid w:val="00C8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48"/>
  </w:style>
  <w:style w:type="paragraph" w:styleId="ListParagraph">
    <w:name w:val="List Paragraph"/>
    <w:basedOn w:val="Normal"/>
    <w:uiPriority w:val="34"/>
    <w:qFormat/>
    <w:rsid w:val="00E37FB2"/>
    <w:pPr>
      <w:ind w:left="720"/>
      <w:contextualSpacing/>
    </w:pPr>
  </w:style>
  <w:style w:type="paragraph" w:styleId="Revision">
    <w:name w:val="Revision"/>
    <w:hidden/>
    <w:uiPriority w:val="99"/>
    <w:semiHidden/>
    <w:rsid w:val="00CA018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01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1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0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3D8A-09FA-43F8-AA49-53DF5F58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Hagen</dc:creator>
  <cp:keywords/>
  <dc:description/>
  <cp:lastModifiedBy>Nic Lutsey</cp:lastModifiedBy>
  <cp:revision>3</cp:revision>
  <dcterms:created xsi:type="dcterms:W3CDTF">2023-12-14T21:05:00Z</dcterms:created>
  <dcterms:modified xsi:type="dcterms:W3CDTF">2023-12-15T13:18:00Z</dcterms:modified>
</cp:coreProperties>
</file>