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1302" w14:textId="77777777" w:rsidR="006D2F0F" w:rsidRDefault="006D2F0F" w:rsidP="002745FA">
      <w:pPr>
        <w:widowControl w:val="0"/>
        <w:autoSpaceDE w:val="0"/>
        <w:autoSpaceDN w:val="0"/>
        <w:adjustRightInd w:val="0"/>
        <w:ind w:left="720"/>
        <w:rPr>
          <w:b/>
          <w:szCs w:val="24"/>
        </w:rPr>
      </w:pPr>
    </w:p>
    <w:p w14:paraId="49061303" w14:textId="77777777" w:rsidR="0014439D" w:rsidRPr="00A01753" w:rsidRDefault="0014439D" w:rsidP="0014439D">
      <w:pPr>
        <w:widowControl w:val="0"/>
        <w:autoSpaceDE w:val="0"/>
        <w:autoSpaceDN w:val="0"/>
        <w:adjustRightInd w:val="0"/>
        <w:rPr>
          <w:b/>
          <w:szCs w:val="24"/>
        </w:rPr>
      </w:pPr>
      <w:r w:rsidRPr="00A01753">
        <w:rPr>
          <w:b/>
          <w:szCs w:val="24"/>
        </w:rPr>
        <w:t>Overview</w:t>
      </w:r>
    </w:p>
    <w:p w14:paraId="49061304" w14:textId="546E260B" w:rsidR="0014439D" w:rsidRPr="002745FA" w:rsidRDefault="0014439D" w:rsidP="0014439D">
      <w:pPr>
        <w:widowControl w:val="0"/>
        <w:autoSpaceDE w:val="0"/>
        <w:autoSpaceDN w:val="0"/>
        <w:adjustRightInd w:val="0"/>
      </w:pPr>
      <w:r w:rsidRPr="002745FA">
        <w:t xml:space="preserve">The following guidance is provided to assist </w:t>
      </w:r>
      <w:r>
        <w:t>R</w:t>
      </w:r>
      <w:r w:rsidRPr="002745FA">
        <w:t xml:space="preserve">ecipients in understanding requirements for invoicing under </w:t>
      </w:r>
      <w:r>
        <w:t>Energy Efficiency and Renewable Energy (</w:t>
      </w:r>
      <w:r w:rsidRPr="002745FA">
        <w:t>EERE</w:t>
      </w:r>
      <w:r>
        <w:t>)</w:t>
      </w:r>
      <w:r w:rsidRPr="002745FA">
        <w:t xml:space="preserve"> financial assistance awards. This guidance is not exclusive and should not be considered an exhaustive or comprehensive listing </w:t>
      </w:r>
      <w:r>
        <w:t xml:space="preserve">of </w:t>
      </w:r>
      <w:r w:rsidRPr="002745FA">
        <w:t>requirements. Further, EERE reserves the right to ask for additional clarifying information</w:t>
      </w:r>
      <w:r>
        <w:t xml:space="preserve"> on a </w:t>
      </w:r>
      <w:r w:rsidR="001C3A4D">
        <w:t>case-by-case</w:t>
      </w:r>
      <w:r>
        <w:t xml:space="preserve"> basis</w:t>
      </w:r>
      <w:r w:rsidRPr="002745FA">
        <w:t>.</w:t>
      </w:r>
    </w:p>
    <w:p w14:paraId="49061305" w14:textId="77777777" w:rsidR="0014439D" w:rsidRPr="002745FA" w:rsidRDefault="0014439D" w:rsidP="0014439D">
      <w:pPr>
        <w:widowControl w:val="0"/>
        <w:autoSpaceDE w:val="0"/>
        <w:autoSpaceDN w:val="0"/>
        <w:adjustRightInd w:val="0"/>
      </w:pPr>
    </w:p>
    <w:p w14:paraId="49061306" w14:textId="77777777" w:rsidR="0014439D" w:rsidRDefault="0014439D" w:rsidP="0014439D">
      <w:pPr>
        <w:widowControl w:val="0"/>
        <w:autoSpaceDE w:val="0"/>
        <w:autoSpaceDN w:val="0"/>
        <w:adjustRightInd w:val="0"/>
      </w:pPr>
      <w:r>
        <w:t>EERE employ</w:t>
      </w:r>
      <w:r w:rsidRPr="002745FA">
        <w:t>s a risk-based approach to determine the method of payment and supporti</w:t>
      </w:r>
      <w:r>
        <w:t>ng documentation required for</w:t>
      </w:r>
      <w:r w:rsidRPr="002745FA">
        <w:t xml:space="preserve"> payments. Organizational, financial, past performance, technical and project risks are all considered.</w:t>
      </w:r>
      <w:r>
        <w:t xml:space="preserve"> </w:t>
      </w:r>
    </w:p>
    <w:p w14:paraId="49061307" w14:textId="77777777" w:rsidR="0014439D" w:rsidRPr="002745FA" w:rsidRDefault="0014439D" w:rsidP="0014439D">
      <w:pPr>
        <w:widowControl w:val="0"/>
        <w:autoSpaceDE w:val="0"/>
        <w:autoSpaceDN w:val="0"/>
        <w:adjustRightInd w:val="0"/>
      </w:pPr>
    </w:p>
    <w:p w14:paraId="49061308" w14:textId="3A369A84" w:rsidR="0014439D" w:rsidRDefault="0014439D" w:rsidP="0014439D">
      <w:pPr>
        <w:widowControl w:val="0"/>
        <w:autoSpaceDE w:val="0"/>
        <w:autoSpaceDN w:val="0"/>
        <w:adjustRightInd w:val="0"/>
      </w:pPr>
      <w:r w:rsidRPr="002745FA">
        <w:t>Depending on the risk analysis results, organizational type, and organiz</w:t>
      </w:r>
      <w:r>
        <w:t>ational accounting procedures, R</w:t>
      </w:r>
      <w:r w:rsidRPr="002745FA">
        <w:t xml:space="preserve">ecipients </w:t>
      </w:r>
      <w:r>
        <w:t>will</w:t>
      </w:r>
      <w:r w:rsidRPr="002745FA">
        <w:t xml:space="preserve"> be placed on</w:t>
      </w:r>
      <w:r>
        <w:t xml:space="preserve"> either the Automated Standard Application for Payments (</w:t>
      </w:r>
      <w:r w:rsidRPr="002745FA">
        <w:t>ASAP</w:t>
      </w:r>
      <w:r>
        <w:t>)</w:t>
      </w:r>
      <w:r w:rsidRPr="002745FA">
        <w:t xml:space="preserve"> or </w:t>
      </w:r>
      <w:r>
        <w:t>Automated Clearing House (</w:t>
      </w:r>
      <w:r w:rsidRPr="002745FA">
        <w:t>ACH</w:t>
      </w:r>
      <w:r>
        <w:t>)</w:t>
      </w:r>
      <w:r w:rsidRPr="002745FA">
        <w:t xml:space="preserve"> payment system with advance or reimbursement payments. ASAP is administered through the Department of Treasury’s </w:t>
      </w:r>
      <w:hyperlink r:id="rId12" w:history="1">
        <w:r w:rsidRPr="00674972">
          <w:rPr>
            <w:rStyle w:val="Hyperlink"/>
          </w:rPr>
          <w:t>https://www.asap.gov</w:t>
        </w:r>
      </w:hyperlink>
      <w:r>
        <w:t xml:space="preserve"> website.</w:t>
      </w:r>
      <w:r w:rsidRPr="002745FA">
        <w:t xml:space="preserve"> ACH payments are processed through the DOE Oak Ridge Financial Service Center (ORFSC) VIPERS</w:t>
      </w:r>
      <w:r>
        <w:t xml:space="preserve"> system</w:t>
      </w:r>
      <w:r w:rsidRPr="002745FA">
        <w:t xml:space="preserve">, </w:t>
      </w:r>
      <w:hyperlink r:id="rId13" w:history="1">
        <w:r w:rsidRPr="002745FA">
          <w:rPr>
            <w:rStyle w:val="Hyperlink"/>
            <w:szCs w:val="24"/>
          </w:rPr>
          <w:t>https://vipers.doe.gov</w:t>
        </w:r>
      </w:hyperlink>
      <w:r w:rsidRPr="002745FA">
        <w:t>.</w:t>
      </w:r>
    </w:p>
    <w:p w14:paraId="49061309" w14:textId="77777777" w:rsidR="0014439D" w:rsidRPr="002745FA" w:rsidRDefault="0014439D" w:rsidP="0014439D">
      <w:pPr>
        <w:widowControl w:val="0"/>
        <w:autoSpaceDE w:val="0"/>
        <w:autoSpaceDN w:val="0"/>
        <w:adjustRightInd w:val="0"/>
      </w:pPr>
    </w:p>
    <w:p w14:paraId="4906130A" w14:textId="77777777" w:rsidR="0014439D" w:rsidRDefault="0014439D" w:rsidP="0014439D">
      <w:pPr>
        <w:widowControl w:val="0"/>
        <w:autoSpaceDE w:val="0"/>
        <w:autoSpaceDN w:val="0"/>
        <w:adjustRightInd w:val="0"/>
      </w:pPr>
      <w:r>
        <w:t>Each R</w:t>
      </w:r>
      <w:r w:rsidRPr="002745FA">
        <w:t>ecipient’s award Special Terms and Conditions will outline the payment request requirements and supporting documents required for payment. EERE authorizing official</w:t>
      </w:r>
      <w:r>
        <w:t>s</w:t>
      </w:r>
      <w:r w:rsidRPr="002745FA">
        <w:t xml:space="preserve"> may request additional information, as deemed necessary.</w:t>
      </w:r>
      <w:r>
        <w:t xml:space="preserve"> If the risk analysis results demonstrate sufficiently low risk for a specific Recipient and project, EERE may not require agency review or any supporting documentation for payment.</w:t>
      </w:r>
    </w:p>
    <w:p w14:paraId="4906130B" w14:textId="77777777" w:rsidR="0014439D" w:rsidRDefault="0014439D" w:rsidP="0014439D">
      <w:pPr>
        <w:widowControl w:val="0"/>
        <w:autoSpaceDE w:val="0"/>
        <w:autoSpaceDN w:val="0"/>
        <w:adjustRightInd w:val="0"/>
      </w:pPr>
    </w:p>
    <w:p w14:paraId="4906130C" w14:textId="77777777" w:rsidR="0014439D" w:rsidRDefault="0014439D" w:rsidP="0014439D">
      <w:pPr>
        <w:widowControl w:val="0"/>
        <w:autoSpaceDE w:val="0"/>
        <w:autoSpaceDN w:val="0"/>
        <w:adjustRightInd w:val="0"/>
      </w:pPr>
      <w:r>
        <w:t>Questions about the invoicing process should be directed to the DOE Award Administrator or Project Officer specified in the Assistance Agreement.</w:t>
      </w:r>
    </w:p>
    <w:p w14:paraId="4906130D" w14:textId="77777777" w:rsidR="0014439D" w:rsidRPr="002745FA" w:rsidRDefault="0014439D" w:rsidP="0014439D">
      <w:pPr>
        <w:widowControl w:val="0"/>
        <w:autoSpaceDE w:val="0"/>
        <w:autoSpaceDN w:val="0"/>
        <w:adjustRightInd w:val="0"/>
      </w:pPr>
    </w:p>
    <w:p w14:paraId="4906130F" w14:textId="77777777" w:rsidR="0014439D" w:rsidRPr="00FD1791" w:rsidRDefault="0014439D" w:rsidP="0014439D">
      <w:pPr>
        <w:widowControl w:val="0"/>
        <w:autoSpaceDE w:val="0"/>
        <w:autoSpaceDN w:val="0"/>
        <w:adjustRightInd w:val="0"/>
        <w:rPr>
          <w:color w:val="0000FF"/>
          <w:szCs w:val="24"/>
        </w:rPr>
      </w:pPr>
      <w:r w:rsidRPr="00FD1791">
        <w:rPr>
          <w:b/>
          <w:szCs w:val="24"/>
        </w:rPr>
        <w:t>Timing of Submittals</w:t>
      </w:r>
    </w:p>
    <w:p w14:paraId="49061310" w14:textId="1E684C7F" w:rsidR="0014439D" w:rsidRPr="0065782B" w:rsidRDefault="0014439D" w:rsidP="0014439D">
      <w:pPr>
        <w:rPr>
          <w:szCs w:val="24"/>
        </w:rPr>
      </w:pPr>
      <w:r>
        <w:rPr>
          <w:szCs w:val="24"/>
        </w:rPr>
        <w:t>Submittal of payment requests should coincide with the R</w:t>
      </w:r>
      <w:r w:rsidRPr="0065782B">
        <w:rPr>
          <w:szCs w:val="24"/>
        </w:rPr>
        <w:t xml:space="preserve">ecipient’s normal billing pattern, but </w:t>
      </w:r>
      <w:r w:rsidRPr="00605BD3">
        <w:rPr>
          <w:szCs w:val="24"/>
          <w:u w:val="single"/>
        </w:rPr>
        <w:t>not more frequently than every two weeks</w:t>
      </w:r>
      <w:r w:rsidRPr="0065782B">
        <w:rPr>
          <w:szCs w:val="24"/>
        </w:rPr>
        <w:t>.  Requests for reimbursement must be limited to the amount of disbursements made during the billing period for the Federal share of direct project costs and the proportionate share of any allowable indirect costs incurred during that billing period</w:t>
      </w:r>
      <w:r w:rsidR="00261B37">
        <w:rPr>
          <w:szCs w:val="24"/>
        </w:rPr>
        <w:t xml:space="preserve"> in line with the indirect costs term in the award terms and conditions</w:t>
      </w:r>
      <w:r w:rsidRPr="0065782B">
        <w:rPr>
          <w:szCs w:val="24"/>
        </w:rPr>
        <w:t xml:space="preserve">.  </w:t>
      </w:r>
    </w:p>
    <w:p w14:paraId="49061311" w14:textId="77777777" w:rsidR="0014439D" w:rsidRPr="0065782B" w:rsidRDefault="0014439D" w:rsidP="0014439D">
      <w:pPr>
        <w:widowControl w:val="0"/>
        <w:autoSpaceDE w:val="0"/>
        <w:autoSpaceDN w:val="0"/>
        <w:adjustRightInd w:val="0"/>
      </w:pPr>
    </w:p>
    <w:p w14:paraId="49061312" w14:textId="77777777" w:rsidR="0014439D" w:rsidRPr="0065782B" w:rsidRDefault="0014439D" w:rsidP="0014439D">
      <w:pPr>
        <w:widowControl w:val="0"/>
        <w:autoSpaceDE w:val="0"/>
        <w:autoSpaceDN w:val="0"/>
        <w:adjustRightInd w:val="0"/>
      </w:pPr>
      <w:r>
        <w:rPr>
          <w:b/>
        </w:rPr>
        <w:t xml:space="preserve">Timing of </w:t>
      </w:r>
      <w:r w:rsidRPr="00FD1791">
        <w:rPr>
          <w:b/>
        </w:rPr>
        <w:t>Payments</w:t>
      </w:r>
    </w:p>
    <w:p w14:paraId="49061313" w14:textId="77777777" w:rsidR="0014439D" w:rsidRDefault="0014439D" w:rsidP="0014439D">
      <w:r w:rsidRPr="0065782B">
        <w:t xml:space="preserve">The EERE approving official will approve the invoice as soon as practical, but not later than 30 </w:t>
      </w:r>
      <w:r>
        <w:t xml:space="preserve">calendar </w:t>
      </w:r>
      <w:r w:rsidRPr="0065782B">
        <w:t xml:space="preserve">days after the Recipient’s request is received, unless the billing is improper.  </w:t>
      </w:r>
    </w:p>
    <w:p w14:paraId="49061314" w14:textId="77777777" w:rsidR="0014439D" w:rsidRDefault="0014439D" w:rsidP="0014439D"/>
    <w:p w14:paraId="49061315" w14:textId="77777777" w:rsidR="0014439D" w:rsidRPr="0065782B" w:rsidRDefault="0014439D" w:rsidP="0014439D">
      <w:pPr>
        <w:keepNext/>
        <w:autoSpaceDE w:val="0"/>
        <w:autoSpaceDN w:val="0"/>
        <w:adjustRightInd w:val="0"/>
      </w:pPr>
      <w:r w:rsidRPr="00FD1791">
        <w:rPr>
          <w:b/>
        </w:rPr>
        <w:t>Milestone Payments</w:t>
      </w:r>
    </w:p>
    <w:p w14:paraId="49061316" w14:textId="77777777" w:rsidR="0014439D" w:rsidRDefault="0014439D" w:rsidP="0014439D">
      <w:pPr>
        <w:keepNext/>
        <w:autoSpaceDE w:val="0"/>
        <w:autoSpaceDN w:val="0"/>
        <w:adjustRightInd w:val="0"/>
      </w:pPr>
      <w:r>
        <w:t>In some cases, p</w:t>
      </w:r>
      <w:r w:rsidRPr="0065782B">
        <w:t xml:space="preserve">ayments will be tied to </w:t>
      </w:r>
      <w:r>
        <w:t xml:space="preserve">successful completion of milestones and submission of </w:t>
      </w:r>
      <w:r w:rsidRPr="0065782B">
        <w:t xml:space="preserve">deliverables. </w:t>
      </w:r>
      <w:r>
        <w:t xml:space="preserve">Where milestone payments are used, </w:t>
      </w:r>
      <w:r w:rsidRPr="0065782B">
        <w:t xml:space="preserve">EERE will use deliverable-based payments as </w:t>
      </w:r>
      <w:r w:rsidRPr="0065782B">
        <w:lastRenderedPageBreak/>
        <w:t>the method of reimbursement.</w:t>
      </w:r>
      <w:r w:rsidRPr="0065782B">
        <w:rPr>
          <w:b/>
          <w:i/>
        </w:rPr>
        <w:t xml:space="preserve"> </w:t>
      </w:r>
      <w:r w:rsidRPr="0065782B">
        <w:t xml:space="preserve">Payment to the Recipient will be dependent on the submission of deliverables and EERE’s verification and acceptance thereof. </w:t>
      </w:r>
    </w:p>
    <w:p w14:paraId="49061318" w14:textId="77777777" w:rsidR="002D52F9" w:rsidRPr="0065782B" w:rsidRDefault="002D52F9" w:rsidP="00304FFC">
      <w:pPr>
        <w:widowControl w:val="0"/>
        <w:autoSpaceDE w:val="0"/>
        <w:autoSpaceDN w:val="0"/>
        <w:adjustRightInd w:val="0"/>
        <w:ind w:left="720"/>
        <w:contextualSpacing/>
        <w:rPr>
          <w:szCs w:val="24"/>
        </w:rPr>
      </w:pPr>
    </w:p>
    <w:p w14:paraId="49061319" w14:textId="77777777" w:rsidR="0014439D" w:rsidRPr="008A6A3E" w:rsidRDefault="0014439D" w:rsidP="0014439D">
      <w:pPr>
        <w:widowControl w:val="0"/>
        <w:autoSpaceDE w:val="0"/>
        <w:autoSpaceDN w:val="0"/>
        <w:adjustRightInd w:val="0"/>
        <w:rPr>
          <w:b/>
        </w:rPr>
      </w:pPr>
      <w:r w:rsidRPr="00FD1791">
        <w:rPr>
          <w:b/>
        </w:rPr>
        <w:t xml:space="preserve">Supporting Documents for Agency </w:t>
      </w:r>
      <w:r>
        <w:rPr>
          <w:b/>
        </w:rPr>
        <w:t xml:space="preserve">Review and </w:t>
      </w:r>
      <w:r w:rsidRPr="00FD1791">
        <w:rPr>
          <w:b/>
        </w:rPr>
        <w:t>Approval of Payments</w:t>
      </w:r>
    </w:p>
    <w:p w14:paraId="4906131A" w14:textId="77777777" w:rsidR="0014439D" w:rsidRPr="0065782B" w:rsidRDefault="0014439D" w:rsidP="0014439D">
      <w:pPr>
        <w:rPr>
          <w:szCs w:val="24"/>
        </w:rPr>
      </w:pPr>
      <w:r w:rsidRPr="0065782B">
        <w:rPr>
          <w:szCs w:val="24"/>
        </w:rPr>
        <w:t>For non-construction awards, the Recipient must submit a Standard Form SF</w:t>
      </w:r>
      <w:r>
        <w:rPr>
          <w:szCs w:val="24"/>
        </w:rPr>
        <w:t>-</w:t>
      </w:r>
      <w:r w:rsidRPr="0065782B">
        <w:rPr>
          <w:szCs w:val="24"/>
        </w:rPr>
        <w:t xml:space="preserve">270, “Request for Advance or Reimbursement,” </w:t>
      </w:r>
      <w:r>
        <w:rPr>
          <w:szCs w:val="24"/>
        </w:rPr>
        <w:t xml:space="preserve">and attach </w:t>
      </w:r>
      <w:r w:rsidRPr="0065782B">
        <w:rPr>
          <w:szCs w:val="24"/>
        </w:rPr>
        <w:t>file</w:t>
      </w:r>
      <w:r>
        <w:rPr>
          <w:szCs w:val="24"/>
        </w:rPr>
        <w:t>(s)</w:t>
      </w:r>
      <w:r w:rsidRPr="0065782B">
        <w:rPr>
          <w:szCs w:val="24"/>
        </w:rPr>
        <w:t xml:space="preserve"> containing appropriate supporting documentation.  The file attachment must show the total Federal share claimed on the SF</w:t>
      </w:r>
      <w:r>
        <w:rPr>
          <w:szCs w:val="24"/>
        </w:rPr>
        <w:t>-</w:t>
      </w:r>
      <w:r w:rsidRPr="0065782B">
        <w:rPr>
          <w:szCs w:val="24"/>
        </w:rPr>
        <w:t xml:space="preserve">270, the non-Federal share claimed for the billing period </w:t>
      </w:r>
      <w:r>
        <w:rPr>
          <w:szCs w:val="24"/>
        </w:rPr>
        <w:t>(</w:t>
      </w:r>
      <w:r w:rsidRPr="0065782B">
        <w:rPr>
          <w:szCs w:val="24"/>
        </w:rPr>
        <w:t>if cost sharing is required</w:t>
      </w:r>
      <w:r>
        <w:rPr>
          <w:szCs w:val="24"/>
        </w:rPr>
        <w:t>)</w:t>
      </w:r>
      <w:r w:rsidRPr="0065782B">
        <w:rPr>
          <w:szCs w:val="24"/>
        </w:rPr>
        <w:t xml:space="preserve">, and cumulative expenditures to date (both Federal and non-Federal) for each of the following categories:  </w:t>
      </w:r>
      <w:r>
        <w:rPr>
          <w:szCs w:val="24"/>
        </w:rPr>
        <w:t>P</w:t>
      </w:r>
      <w:r w:rsidRPr="0065782B">
        <w:rPr>
          <w:szCs w:val="24"/>
        </w:rPr>
        <w:t xml:space="preserve">ersonnel; </w:t>
      </w:r>
      <w:r>
        <w:rPr>
          <w:szCs w:val="24"/>
        </w:rPr>
        <w:t>F</w:t>
      </w:r>
      <w:r w:rsidRPr="0065782B">
        <w:rPr>
          <w:szCs w:val="24"/>
        </w:rPr>
        <w:t xml:space="preserve">ringe </w:t>
      </w:r>
      <w:r>
        <w:rPr>
          <w:szCs w:val="24"/>
        </w:rPr>
        <w:t>B</w:t>
      </w:r>
      <w:r w:rsidRPr="0065782B">
        <w:rPr>
          <w:szCs w:val="24"/>
        </w:rPr>
        <w:t xml:space="preserve">enefits; </w:t>
      </w:r>
      <w:r>
        <w:rPr>
          <w:szCs w:val="24"/>
        </w:rPr>
        <w:t>E</w:t>
      </w:r>
      <w:r w:rsidRPr="0065782B">
        <w:rPr>
          <w:szCs w:val="24"/>
        </w:rPr>
        <w:t xml:space="preserve">quipment; </w:t>
      </w:r>
      <w:r>
        <w:rPr>
          <w:szCs w:val="24"/>
        </w:rPr>
        <w:t>T</w:t>
      </w:r>
      <w:r w:rsidRPr="0065782B">
        <w:rPr>
          <w:szCs w:val="24"/>
        </w:rPr>
        <w:t xml:space="preserve">ravel; </w:t>
      </w:r>
      <w:r>
        <w:rPr>
          <w:szCs w:val="24"/>
        </w:rPr>
        <w:t>S</w:t>
      </w:r>
      <w:r w:rsidRPr="0065782B">
        <w:rPr>
          <w:szCs w:val="24"/>
        </w:rPr>
        <w:t xml:space="preserve">upplies; </w:t>
      </w:r>
      <w:r>
        <w:rPr>
          <w:szCs w:val="24"/>
        </w:rPr>
        <w:t>C</w:t>
      </w:r>
      <w:r w:rsidRPr="0065782B">
        <w:rPr>
          <w:szCs w:val="24"/>
        </w:rPr>
        <w:t xml:space="preserve">ontractual; </w:t>
      </w:r>
      <w:r>
        <w:rPr>
          <w:szCs w:val="24"/>
        </w:rPr>
        <w:t>O</w:t>
      </w:r>
      <w:r w:rsidRPr="0065782B">
        <w:rPr>
          <w:szCs w:val="24"/>
        </w:rPr>
        <w:t xml:space="preserve">ther </w:t>
      </w:r>
      <w:r>
        <w:rPr>
          <w:szCs w:val="24"/>
        </w:rPr>
        <w:t>Direct costs; and Indirect C</w:t>
      </w:r>
      <w:r w:rsidRPr="0065782B">
        <w:rPr>
          <w:szCs w:val="24"/>
        </w:rPr>
        <w:t>osts.  For construction awards, the Recipient must submit a SF</w:t>
      </w:r>
      <w:r>
        <w:rPr>
          <w:szCs w:val="24"/>
        </w:rPr>
        <w:t>-</w:t>
      </w:r>
      <w:r w:rsidRPr="0065782B">
        <w:rPr>
          <w:szCs w:val="24"/>
        </w:rPr>
        <w:t>271, “Outlay Report and Request for Reimburs</w:t>
      </w:r>
      <w:r>
        <w:rPr>
          <w:szCs w:val="24"/>
        </w:rPr>
        <w:t>ement for Construction Programs</w:t>
      </w:r>
      <w:r w:rsidRPr="0065782B">
        <w:rPr>
          <w:szCs w:val="24"/>
        </w:rPr>
        <w:t xml:space="preserve">”.    </w:t>
      </w:r>
    </w:p>
    <w:p w14:paraId="4906131B" w14:textId="77777777" w:rsidR="0014439D" w:rsidRDefault="0014439D" w:rsidP="0014439D">
      <w:pPr>
        <w:widowControl w:val="0"/>
        <w:autoSpaceDE w:val="0"/>
        <w:autoSpaceDN w:val="0"/>
        <w:adjustRightInd w:val="0"/>
      </w:pPr>
    </w:p>
    <w:p w14:paraId="4906131C" w14:textId="740B3B42" w:rsidR="0014439D" w:rsidRPr="00105105" w:rsidRDefault="0014439D" w:rsidP="0014439D">
      <w:pPr>
        <w:rPr>
          <w:szCs w:val="24"/>
        </w:rPr>
      </w:pPr>
      <w:r w:rsidRPr="000E2F6B">
        <w:rPr>
          <w:szCs w:val="24"/>
        </w:rPr>
        <w:t>T</w:t>
      </w:r>
      <w:r w:rsidRPr="00105105">
        <w:rPr>
          <w:szCs w:val="24"/>
        </w:rPr>
        <w:t xml:space="preserve">he following </w:t>
      </w:r>
      <w:r>
        <w:rPr>
          <w:szCs w:val="24"/>
        </w:rPr>
        <w:t xml:space="preserve">additional </w:t>
      </w:r>
      <w:r w:rsidRPr="00105105">
        <w:rPr>
          <w:szCs w:val="24"/>
        </w:rPr>
        <w:t xml:space="preserve">items </w:t>
      </w:r>
      <w:r>
        <w:rPr>
          <w:szCs w:val="24"/>
        </w:rPr>
        <w:t>are examples of documentation that may be</w:t>
      </w:r>
      <w:r w:rsidRPr="00105105">
        <w:rPr>
          <w:szCs w:val="24"/>
        </w:rPr>
        <w:t xml:space="preserve"> required</w:t>
      </w:r>
      <w:r>
        <w:rPr>
          <w:szCs w:val="24"/>
        </w:rPr>
        <w:t>, subject to EERE’s risk review determination, however, this list is not all inclusive. (The Recipient should refer to</w:t>
      </w:r>
      <w:r w:rsidR="000B6E62">
        <w:rPr>
          <w:szCs w:val="24"/>
        </w:rPr>
        <w:t xml:space="preserve"> the Payment Procedures</w:t>
      </w:r>
      <w:r>
        <w:rPr>
          <w:szCs w:val="24"/>
        </w:rPr>
        <w:t xml:space="preserve"> </w:t>
      </w:r>
      <w:r w:rsidR="004F094D">
        <w:rPr>
          <w:szCs w:val="24"/>
        </w:rPr>
        <w:t xml:space="preserve">in </w:t>
      </w:r>
      <w:r>
        <w:rPr>
          <w:szCs w:val="24"/>
        </w:rPr>
        <w:t>their award Special Terms and Conditions for the specific requirements.)</w:t>
      </w:r>
      <w:r w:rsidRPr="00105105">
        <w:rPr>
          <w:szCs w:val="24"/>
        </w:rPr>
        <w:t>:</w:t>
      </w:r>
    </w:p>
    <w:p w14:paraId="4906131D" w14:textId="577A3D2D" w:rsidR="0014439D" w:rsidRDefault="0014439D" w:rsidP="0014439D">
      <w:pPr>
        <w:pStyle w:val="ListParagraph"/>
        <w:widowControl w:val="0"/>
        <w:numPr>
          <w:ilvl w:val="0"/>
          <w:numId w:val="1"/>
        </w:numPr>
        <w:autoSpaceDE w:val="0"/>
        <w:autoSpaceDN w:val="0"/>
        <w:adjustRightInd w:val="0"/>
        <w:ind w:left="360"/>
      </w:pPr>
      <w:r>
        <w:t xml:space="preserve">Summary cost data, for the billing period and cumulative, showing all categories listed in the SF-424a – Budget </w:t>
      </w:r>
      <w:proofErr w:type="gramStart"/>
      <w:r>
        <w:t>Information;</w:t>
      </w:r>
      <w:proofErr w:type="gramEnd"/>
      <w:r>
        <w:t xml:space="preserve"> </w:t>
      </w:r>
    </w:p>
    <w:p w14:paraId="6F67F985" w14:textId="1606FFE7" w:rsidR="00B1296C" w:rsidRDefault="00B1296C" w:rsidP="0014439D">
      <w:pPr>
        <w:pStyle w:val="ListParagraph"/>
        <w:widowControl w:val="0"/>
        <w:numPr>
          <w:ilvl w:val="0"/>
          <w:numId w:val="1"/>
        </w:numPr>
        <w:autoSpaceDE w:val="0"/>
        <w:autoSpaceDN w:val="0"/>
        <w:adjustRightInd w:val="0"/>
        <w:ind w:left="360"/>
      </w:pPr>
      <w:r>
        <w:t>Details and explanation</w:t>
      </w:r>
      <w:r w:rsidR="000C0A92">
        <w:t>s</w:t>
      </w:r>
      <w:r>
        <w:t xml:space="preserve"> are very important for costs not clearly listed in the</w:t>
      </w:r>
      <w:r w:rsidR="000B6E62">
        <w:t xml:space="preserve"> negotiated</w:t>
      </w:r>
      <w:r>
        <w:t xml:space="preserve"> budget justification (EERE 540.132</w:t>
      </w:r>
      <w:proofErr w:type="gramStart"/>
      <w:r>
        <w:t>)</w:t>
      </w:r>
      <w:r w:rsidR="000B6E62">
        <w:t>;</w:t>
      </w:r>
      <w:proofErr w:type="gramEnd"/>
      <w:r>
        <w:t xml:space="preserve"> </w:t>
      </w:r>
    </w:p>
    <w:p w14:paraId="2E370A69" w14:textId="77777777" w:rsidR="00BF1F78" w:rsidRDefault="0014439D" w:rsidP="00BF1F78">
      <w:pPr>
        <w:pStyle w:val="ListParagraph"/>
        <w:widowControl w:val="0"/>
        <w:numPr>
          <w:ilvl w:val="0"/>
          <w:numId w:val="1"/>
        </w:numPr>
        <w:autoSpaceDE w:val="0"/>
        <w:autoSpaceDN w:val="0"/>
        <w:adjustRightInd w:val="0"/>
        <w:ind w:left="360"/>
      </w:pPr>
      <w:r>
        <w:t xml:space="preserve">UCC filing proof for all equipment reimbursements to for-profit recipients and </w:t>
      </w:r>
      <w:proofErr w:type="gramStart"/>
      <w:r>
        <w:t>subrecipients;</w:t>
      </w:r>
      <w:proofErr w:type="gramEnd"/>
    </w:p>
    <w:p w14:paraId="64740D13" w14:textId="41211BDF" w:rsidR="00F60844" w:rsidRDefault="00F60844" w:rsidP="00BF1F78">
      <w:pPr>
        <w:pStyle w:val="ListParagraph"/>
        <w:widowControl w:val="0"/>
        <w:numPr>
          <w:ilvl w:val="1"/>
          <w:numId w:val="1"/>
        </w:numPr>
        <w:autoSpaceDE w:val="0"/>
        <w:autoSpaceDN w:val="0"/>
        <w:adjustRightInd w:val="0"/>
        <w:ind w:left="1440"/>
      </w:pPr>
      <w:r>
        <w:t xml:space="preserve">UCC filings must be submitted to DOE for review prior to recording </w:t>
      </w:r>
      <w:r w:rsidR="00011B52">
        <w:t xml:space="preserve">the filings with recipient/subrecipient Secretary of State.  </w:t>
      </w:r>
    </w:p>
    <w:p w14:paraId="7CB53ED8" w14:textId="77777777" w:rsidR="00BF1F78" w:rsidRDefault="0014439D" w:rsidP="00BF1F78">
      <w:pPr>
        <w:pStyle w:val="ListParagraph"/>
        <w:keepNext/>
        <w:keepLines/>
        <w:numPr>
          <w:ilvl w:val="0"/>
          <w:numId w:val="1"/>
        </w:numPr>
        <w:spacing w:after="160" w:line="259" w:lineRule="auto"/>
        <w:ind w:left="360"/>
      </w:pPr>
      <w:r>
        <w:t>Timesheets or personnel hours report; and</w:t>
      </w:r>
    </w:p>
    <w:p w14:paraId="53A70B5F" w14:textId="355E4621" w:rsidR="00FF308E" w:rsidRDefault="00FF308E" w:rsidP="00BF1F78">
      <w:pPr>
        <w:pStyle w:val="ListParagraph"/>
        <w:keepNext/>
        <w:keepLines/>
        <w:numPr>
          <w:ilvl w:val="1"/>
          <w:numId w:val="1"/>
        </w:numPr>
        <w:spacing w:after="160" w:line="259" w:lineRule="auto"/>
        <w:ind w:left="1440"/>
      </w:pPr>
      <w:r>
        <w:t>Timesheets must be</w:t>
      </w:r>
      <w:r w:rsidR="000B6E62">
        <w:t xml:space="preserve"> from a time keeping which is</w:t>
      </w:r>
      <w:r>
        <w:t xml:space="preserve"> GAAP compliant.</w:t>
      </w:r>
    </w:p>
    <w:p w14:paraId="49061320" w14:textId="77777777" w:rsidR="0014439D" w:rsidRDefault="0014439D" w:rsidP="0014439D">
      <w:pPr>
        <w:pStyle w:val="ListParagraph"/>
        <w:keepNext/>
        <w:keepLines/>
        <w:numPr>
          <w:ilvl w:val="0"/>
          <w:numId w:val="1"/>
        </w:numPr>
        <w:spacing w:after="160" w:line="259" w:lineRule="auto"/>
        <w:ind w:left="360"/>
      </w:pPr>
      <w:r>
        <w:t>Invoices/receipts for travel, equipment, supplies, contractual, and other direct costs.</w:t>
      </w:r>
    </w:p>
    <w:p w14:paraId="49061321" w14:textId="3FBF6664" w:rsidR="0014439D" w:rsidRDefault="0014439D" w:rsidP="0014439D">
      <w:pPr>
        <w:widowControl w:val="0"/>
        <w:autoSpaceDE w:val="0"/>
        <w:autoSpaceDN w:val="0"/>
        <w:adjustRightInd w:val="0"/>
      </w:pPr>
      <w:r w:rsidRPr="0065782B">
        <w:t xml:space="preserve">The EERE </w:t>
      </w:r>
      <w:r>
        <w:t>approving</w:t>
      </w:r>
      <w:r w:rsidRPr="0065782B">
        <w:t xml:space="preserve"> official may request additional information from the Recipient to support the payment request prior to release of funds, as deemed necessary.  Recipient</w:t>
      </w:r>
      <w:r>
        <w:t>s</w:t>
      </w:r>
      <w:r w:rsidRPr="0065782B">
        <w:t xml:space="preserve"> </w:t>
      </w:r>
      <w:r>
        <w:t>are</w:t>
      </w:r>
      <w:r w:rsidRPr="0065782B">
        <w:t xml:space="preserve"> required to comply with these requests.  Supporting documents include invoices, copies of contracts, vendor quotes, and other expenditure explanations that justify the reimbursement requests.</w:t>
      </w:r>
    </w:p>
    <w:p w14:paraId="2CC7D6E8" w14:textId="7152E586" w:rsidR="006029FE" w:rsidRDefault="006029FE" w:rsidP="0014439D">
      <w:pPr>
        <w:widowControl w:val="0"/>
        <w:autoSpaceDE w:val="0"/>
        <w:autoSpaceDN w:val="0"/>
        <w:adjustRightInd w:val="0"/>
      </w:pPr>
    </w:p>
    <w:p w14:paraId="143C2777" w14:textId="7BDFCB87" w:rsidR="006029FE" w:rsidRPr="0065782B" w:rsidRDefault="006029FE" w:rsidP="0014439D">
      <w:pPr>
        <w:widowControl w:val="0"/>
        <w:autoSpaceDE w:val="0"/>
        <w:autoSpaceDN w:val="0"/>
        <w:adjustRightInd w:val="0"/>
      </w:pPr>
      <w:r>
        <w:t>When submitting supporting documentation</w:t>
      </w:r>
      <w:r w:rsidR="00B3336E">
        <w:t>,</w:t>
      </w:r>
      <w:r>
        <w:t xml:space="preserve"> recipients on ACH payment will need to attach the supporting documents to one of five place holders as part of the invoice.  Any supporting documentation for ASAP payments will need to be submitted the Award Administrator and Project Officer listed on the award Assistance Agreement.  </w:t>
      </w:r>
    </w:p>
    <w:p w14:paraId="49061322" w14:textId="3059DD2D" w:rsidR="0014439D" w:rsidRDefault="0014439D" w:rsidP="0014439D">
      <w:pPr>
        <w:widowControl w:val="0"/>
        <w:autoSpaceDE w:val="0"/>
        <w:autoSpaceDN w:val="0"/>
        <w:adjustRightInd w:val="0"/>
        <w:ind w:left="720"/>
        <w:contextualSpacing/>
        <w:rPr>
          <w:szCs w:val="24"/>
        </w:rPr>
      </w:pPr>
    </w:p>
    <w:p w14:paraId="49061323" w14:textId="77777777" w:rsidR="0014439D" w:rsidRDefault="0014439D" w:rsidP="0014439D">
      <w:pPr>
        <w:widowControl w:val="0"/>
        <w:autoSpaceDE w:val="0"/>
        <w:autoSpaceDN w:val="0"/>
        <w:adjustRightInd w:val="0"/>
      </w:pPr>
      <w:r w:rsidRPr="00FD1791">
        <w:rPr>
          <w:b/>
        </w:rPr>
        <w:t>Explanation of Suppor</w:t>
      </w:r>
      <w:r>
        <w:rPr>
          <w:b/>
        </w:rPr>
        <w:t>ting Documentation and Examples</w:t>
      </w:r>
    </w:p>
    <w:p w14:paraId="49061324" w14:textId="77777777" w:rsidR="0014439D" w:rsidRDefault="0014439D" w:rsidP="0014439D">
      <w:r>
        <w:t>Invoice documentation is to be submitted electronically to the location specified in the Recipient’s award Special Terms and Conditions.  This information should typically be provided in Adobe PDF or Microsoft Office formats.</w:t>
      </w:r>
    </w:p>
    <w:p w14:paraId="49061325" w14:textId="77777777" w:rsidR="0014439D" w:rsidRDefault="0014439D" w:rsidP="0014439D"/>
    <w:p w14:paraId="49061326" w14:textId="77777777" w:rsidR="0014439D" w:rsidRPr="000C66D6" w:rsidRDefault="0014439D" w:rsidP="0014439D">
      <w:pPr>
        <w:rPr>
          <w:i/>
        </w:rPr>
      </w:pPr>
      <w:r w:rsidRPr="000C66D6">
        <w:rPr>
          <w:i/>
        </w:rPr>
        <w:t>Summary cost data, for the billing period and cumulative, showing all categories listed in the SF-424a</w:t>
      </w:r>
      <w:r>
        <w:rPr>
          <w:i/>
        </w:rPr>
        <w:t xml:space="preserve"> Budget:</w:t>
      </w:r>
    </w:p>
    <w:p w14:paraId="49061327" w14:textId="3EC96029" w:rsidR="0014439D" w:rsidRPr="008F282C" w:rsidRDefault="0014439D" w:rsidP="0014439D">
      <w:pPr>
        <w:pStyle w:val="ListParagraph"/>
        <w:numPr>
          <w:ilvl w:val="0"/>
          <w:numId w:val="5"/>
        </w:numPr>
      </w:pPr>
      <w:r>
        <w:t xml:space="preserve">This is the dollar amount for each cost category: </w:t>
      </w:r>
      <w:r>
        <w:rPr>
          <w:szCs w:val="24"/>
        </w:rPr>
        <w:t>P</w:t>
      </w:r>
      <w:r w:rsidRPr="0065782B">
        <w:rPr>
          <w:szCs w:val="24"/>
        </w:rPr>
        <w:t xml:space="preserve">ersonnel; </w:t>
      </w:r>
      <w:r>
        <w:rPr>
          <w:szCs w:val="24"/>
        </w:rPr>
        <w:t>F</w:t>
      </w:r>
      <w:r w:rsidRPr="0065782B">
        <w:rPr>
          <w:szCs w:val="24"/>
        </w:rPr>
        <w:t xml:space="preserve">ringe </w:t>
      </w:r>
      <w:r>
        <w:rPr>
          <w:szCs w:val="24"/>
        </w:rPr>
        <w:t>B</w:t>
      </w:r>
      <w:r w:rsidRPr="0065782B">
        <w:rPr>
          <w:szCs w:val="24"/>
        </w:rPr>
        <w:t>enefits;</w:t>
      </w:r>
      <w:r w:rsidR="008F282C">
        <w:rPr>
          <w:szCs w:val="24"/>
        </w:rPr>
        <w:t xml:space="preserve"> Travel;</w:t>
      </w:r>
      <w:r w:rsidRPr="0065782B">
        <w:rPr>
          <w:szCs w:val="24"/>
        </w:rPr>
        <w:t xml:space="preserve"> </w:t>
      </w:r>
      <w:r>
        <w:rPr>
          <w:szCs w:val="24"/>
        </w:rPr>
        <w:t>E</w:t>
      </w:r>
      <w:r w:rsidRPr="0065782B">
        <w:rPr>
          <w:szCs w:val="24"/>
        </w:rPr>
        <w:t xml:space="preserve">quipment; </w:t>
      </w:r>
      <w:r>
        <w:rPr>
          <w:szCs w:val="24"/>
        </w:rPr>
        <w:t>S</w:t>
      </w:r>
      <w:r w:rsidRPr="0065782B">
        <w:rPr>
          <w:szCs w:val="24"/>
        </w:rPr>
        <w:t xml:space="preserve">upplies; </w:t>
      </w:r>
      <w:r>
        <w:rPr>
          <w:szCs w:val="24"/>
        </w:rPr>
        <w:t>C</w:t>
      </w:r>
      <w:r w:rsidRPr="0065782B">
        <w:rPr>
          <w:szCs w:val="24"/>
        </w:rPr>
        <w:t xml:space="preserve">ontractual; </w:t>
      </w:r>
      <w:r>
        <w:rPr>
          <w:szCs w:val="24"/>
        </w:rPr>
        <w:t>O</w:t>
      </w:r>
      <w:r w:rsidRPr="0065782B">
        <w:rPr>
          <w:szCs w:val="24"/>
        </w:rPr>
        <w:t xml:space="preserve">ther </w:t>
      </w:r>
      <w:r>
        <w:rPr>
          <w:szCs w:val="24"/>
        </w:rPr>
        <w:t>Direct costs; and Indirect C</w:t>
      </w:r>
      <w:r w:rsidRPr="0065782B">
        <w:rPr>
          <w:szCs w:val="24"/>
        </w:rPr>
        <w:t>osts</w:t>
      </w:r>
      <w:r>
        <w:rPr>
          <w:szCs w:val="24"/>
        </w:rPr>
        <w:t xml:space="preserve"> for the subject billing period and cumulative for the project. Recipients may use their own format or EERE can provide a template.</w:t>
      </w:r>
    </w:p>
    <w:p w14:paraId="3E98959B" w14:textId="79B242BD" w:rsidR="008F282C" w:rsidRPr="000C66D6" w:rsidRDefault="008F282C" w:rsidP="0014439D">
      <w:pPr>
        <w:pStyle w:val="ListParagraph"/>
        <w:numPr>
          <w:ilvl w:val="0"/>
          <w:numId w:val="5"/>
        </w:numPr>
      </w:pPr>
      <w:r>
        <w:rPr>
          <w:szCs w:val="24"/>
        </w:rPr>
        <w:t>Calculations should be shown for any Fringe and/or Indirect Costs.</w:t>
      </w:r>
    </w:p>
    <w:p w14:paraId="49061328" w14:textId="4FD38FB8" w:rsidR="0014439D" w:rsidRPr="009D3D63" w:rsidRDefault="0014439D" w:rsidP="0014439D">
      <w:pPr>
        <w:pStyle w:val="ListParagraph"/>
        <w:numPr>
          <w:ilvl w:val="0"/>
          <w:numId w:val="5"/>
        </w:numPr>
      </w:pPr>
      <w:r>
        <w:rPr>
          <w:szCs w:val="24"/>
        </w:rPr>
        <w:t>EERE compares this information to the approved budget and may request clarification where significant deviation occurs.</w:t>
      </w:r>
    </w:p>
    <w:p w14:paraId="023D647B" w14:textId="440A1CD7" w:rsidR="009D3D63" w:rsidRPr="00DA3D93" w:rsidRDefault="009D3D63" w:rsidP="0014439D">
      <w:pPr>
        <w:pStyle w:val="ListParagraph"/>
        <w:numPr>
          <w:ilvl w:val="0"/>
          <w:numId w:val="5"/>
        </w:numPr>
      </w:pPr>
      <w:r>
        <w:rPr>
          <w:szCs w:val="24"/>
        </w:rPr>
        <w:t>If the recipient has an updated NICRA and plans on using those updated rates the updated NICRA must be provided to the Award Administrator listed on the Assistance Agreement.</w:t>
      </w:r>
    </w:p>
    <w:p w14:paraId="49061329" w14:textId="77777777" w:rsidR="0014439D" w:rsidRDefault="0014439D" w:rsidP="0014439D">
      <w:pPr>
        <w:rPr>
          <w:i/>
        </w:rPr>
      </w:pPr>
    </w:p>
    <w:p w14:paraId="4906132A" w14:textId="77777777" w:rsidR="0014439D" w:rsidRPr="000C66D6" w:rsidRDefault="0014439D" w:rsidP="0014439D">
      <w:pPr>
        <w:rPr>
          <w:i/>
        </w:rPr>
      </w:pPr>
      <w:r w:rsidRPr="000C66D6">
        <w:rPr>
          <w:i/>
        </w:rPr>
        <w:t>UCC filing proof for all equipment reimbursements to for-profit recipients and subrecipients</w:t>
      </w:r>
      <w:r>
        <w:rPr>
          <w:i/>
        </w:rPr>
        <w:t>:</w:t>
      </w:r>
    </w:p>
    <w:p w14:paraId="4906132B" w14:textId="0712733B" w:rsidR="0014439D" w:rsidRDefault="0014439D" w:rsidP="0014439D">
      <w:pPr>
        <w:pStyle w:val="ListParagraph"/>
        <w:numPr>
          <w:ilvl w:val="0"/>
          <w:numId w:val="5"/>
        </w:numPr>
      </w:pPr>
      <w:r>
        <w:t xml:space="preserve">UCC financing statements must be filed with the appropriate State office after getting DOE pre-approval when for-profit recipients and sub-recipients purchase equipment, as required per </w:t>
      </w:r>
      <w:r w:rsidRPr="00DA3D93">
        <w:t>2 CFR 910.360</w:t>
      </w:r>
      <w:r>
        <w:t xml:space="preserve">. Prior to reimbursement for such equipment, the filing must be completed and approved by DOE. Proof of the UCC filing, </w:t>
      </w:r>
      <w:proofErr w:type="gramStart"/>
      <w:r>
        <w:t>i.e.</w:t>
      </w:r>
      <w:proofErr w:type="gramEnd"/>
      <w:r>
        <w:t xml:space="preserve"> pdf of the Contracting Officer’s approval and the approved filing, must be provided as a supporting document.</w:t>
      </w:r>
    </w:p>
    <w:p w14:paraId="4906132C" w14:textId="77777777" w:rsidR="0014439D" w:rsidRDefault="0014439D" w:rsidP="0014439D">
      <w:pPr>
        <w:pStyle w:val="ListParagraph"/>
        <w:numPr>
          <w:ilvl w:val="0"/>
          <w:numId w:val="5"/>
        </w:numPr>
        <w:spacing w:after="160" w:line="259" w:lineRule="auto"/>
      </w:pPr>
      <w:r>
        <w:t>Please follow your Contracting Officer’s guidance on the UCC filing and approval process.</w:t>
      </w:r>
    </w:p>
    <w:p w14:paraId="4906132D" w14:textId="1F74B6D3" w:rsidR="0014439D" w:rsidRDefault="0014439D" w:rsidP="0014439D">
      <w:pPr>
        <w:rPr>
          <w:i/>
        </w:rPr>
      </w:pPr>
      <w:r w:rsidRPr="00A63533">
        <w:rPr>
          <w:i/>
        </w:rPr>
        <w:t>Explanation of cost share for invoicing period, including cost category and rationale if cost share exceeds</w:t>
      </w:r>
      <w:r>
        <w:rPr>
          <w:i/>
        </w:rPr>
        <w:t>:</w:t>
      </w:r>
    </w:p>
    <w:p w14:paraId="4906132E" w14:textId="77777777" w:rsidR="0014439D" w:rsidRDefault="0014439D" w:rsidP="0014439D">
      <w:pPr>
        <w:pStyle w:val="ListParagraph"/>
        <w:numPr>
          <w:ilvl w:val="0"/>
          <w:numId w:val="7"/>
        </w:numPr>
      </w:pPr>
      <w:r>
        <w:t>If multiple cost share sources are approved, the amount and type of cost share should be detailed by source.</w:t>
      </w:r>
    </w:p>
    <w:p w14:paraId="4906132F" w14:textId="77777777" w:rsidR="0014439D" w:rsidRDefault="0014439D" w:rsidP="0014439D">
      <w:pPr>
        <w:pStyle w:val="ListParagraph"/>
        <w:numPr>
          <w:ilvl w:val="0"/>
          <w:numId w:val="5"/>
        </w:numPr>
        <w:spacing w:after="160" w:line="259" w:lineRule="auto"/>
      </w:pPr>
      <w:r>
        <w:t xml:space="preserve">If the cumulative cost share is below the award required amount, DOE will, in most cases, deny Federal payments above the award proportional cost share. In limited cases, DOE may consider a recovery plan to restore cost share to the required amount. This plan </w:t>
      </w:r>
      <w:r w:rsidRPr="00B30CAB">
        <w:rPr>
          <w:u w:val="single"/>
        </w:rPr>
        <w:t>must be submitted to the DOE Contracting Officer with the invoice</w:t>
      </w:r>
      <w:r>
        <w:t xml:space="preserve">.  </w:t>
      </w:r>
    </w:p>
    <w:p w14:paraId="49061330" w14:textId="77777777" w:rsidR="0014439D" w:rsidRPr="00A63533" w:rsidRDefault="0014439D" w:rsidP="0014439D">
      <w:pPr>
        <w:rPr>
          <w:i/>
        </w:rPr>
      </w:pPr>
      <w:r w:rsidRPr="00A63533">
        <w:rPr>
          <w:i/>
        </w:rPr>
        <w:t>Timesheets or personnel hours report</w:t>
      </w:r>
    </w:p>
    <w:p w14:paraId="49061331" w14:textId="77777777" w:rsidR="0014439D" w:rsidRDefault="0014439D" w:rsidP="0014439D">
      <w:pPr>
        <w:pStyle w:val="ListParagraph"/>
        <w:numPr>
          <w:ilvl w:val="0"/>
          <w:numId w:val="6"/>
        </w:numPr>
      </w:pPr>
      <w:r>
        <w:t xml:space="preserve">This requirement can generally be fulfilled by a report out of the Recipient’s accounting system that details the hours worked by </w:t>
      </w:r>
      <w:proofErr w:type="gramStart"/>
      <w:r>
        <w:t>each individual</w:t>
      </w:r>
      <w:proofErr w:type="gramEnd"/>
      <w:r>
        <w:t xml:space="preserve"> on the project and the associated rate, for example hourly rate.</w:t>
      </w:r>
    </w:p>
    <w:p w14:paraId="49061332" w14:textId="44B858EB" w:rsidR="0014439D" w:rsidRDefault="0014439D" w:rsidP="0014439D">
      <w:pPr>
        <w:pStyle w:val="ListParagraph"/>
        <w:numPr>
          <w:ilvl w:val="0"/>
          <w:numId w:val="6"/>
        </w:numPr>
        <w:spacing w:after="160" w:line="259" w:lineRule="auto"/>
      </w:pPr>
      <w:r>
        <w:t>Actual time sheets may be requested for verification in some cases.</w:t>
      </w:r>
    </w:p>
    <w:p w14:paraId="6F380337" w14:textId="53D0655F" w:rsidR="00807C0C" w:rsidRDefault="00807C0C" w:rsidP="00605BD3">
      <w:pPr>
        <w:pStyle w:val="ListParagraph"/>
        <w:numPr>
          <w:ilvl w:val="1"/>
          <w:numId w:val="6"/>
        </w:numPr>
        <w:spacing w:after="160" w:line="259" w:lineRule="auto"/>
      </w:pPr>
      <w:r>
        <w:t xml:space="preserve">Spreadsheets are not considered actual </w:t>
      </w:r>
      <w:r w:rsidR="00D52EC5">
        <w:t>timesheets</w:t>
      </w:r>
      <w:r>
        <w:t xml:space="preserve">.  </w:t>
      </w:r>
    </w:p>
    <w:p w14:paraId="49061333" w14:textId="77777777" w:rsidR="0014439D" w:rsidRPr="0072074A" w:rsidRDefault="0014439D" w:rsidP="0014439D">
      <w:pPr>
        <w:rPr>
          <w:i/>
        </w:rPr>
      </w:pPr>
      <w:r w:rsidRPr="0072074A">
        <w:rPr>
          <w:i/>
        </w:rPr>
        <w:t>Invoices/receipts for travel, equipment, supplies, contractual, and other direct costs</w:t>
      </w:r>
    </w:p>
    <w:p w14:paraId="33F99871" w14:textId="4A910C56" w:rsidR="00A42E65" w:rsidRDefault="0014439D" w:rsidP="00A42E65">
      <w:pPr>
        <w:pStyle w:val="ListParagraph"/>
        <w:numPr>
          <w:ilvl w:val="0"/>
          <w:numId w:val="5"/>
        </w:numPr>
      </w:pPr>
      <w:r>
        <w:t xml:space="preserve">Travel report or listing of all trips including a breakdown of travel costs for each trip, </w:t>
      </w:r>
      <w:proofErr w:type="gramStart"/>
      <w:r>
        <w:t>e.g.</w:t>
      </w:r>
      <w:proofErr w:type="gramEnd"/>
      <w:r>
        <w:t xml:space="preserve"> airfare, rental car, hotel, per diem, etc. is sufficient in most cases. Receipt verification may be required in some instances.</w:t>
      </w:r>
    </w:p>
    <w:p w14:paraId="49061335" w14:textId="77777777" w:rsidR="0014439D" w:rsidRPr="001E6DB7" w:rsidRDefault="0014439D" w:rsidP="0014439D">
      <w:pPr>
        <w:pStyle w:val="ListParagraph"/>
        <w:numPr>
          <w:ilvl w:val="0"/>
          <w:numId w:val="5"/>
        </w:numPr>
        <w:spacing w:after="160" w:line="259" w:lineRule="auto"/>
      </w:pPr>
      <w:r>
        <w:lastRenderedPageBreak/>
        <w:t xml:space="preserve">Equipment report or a listing of all equipment purchased </w:t>
      </w:r>
      <w:r w:rsidRPr="007A6221">
        <w:t>AND</w:t>
      </w:r>
      <w:r>
        <w:t xml:space="preserve"> scanned images of i</w:t>
      </w:r>
      <w:r w:rsidRPr="001E6DB7">
        <w:t xml:space="preserve">nvoices/receipts </w:t>
      </w:r>
      <w:r>
        <w:t>for any Equipment over $50,000 must be submitted when required.</w:t>
      </w:r>
    </w:p>
    <w:p w14:paraId="49061336" w14:textId="77777777" w:rsidR="0014439D" w:rsidRDefault="0014439D" w:rsidP="0014439D">
      <w:pPr>
        <w:pStyle w:val="ListParagraph"/>
        <w:numPr>
          <w:ilvl w:val="0"/>
          <w:numId w:val="5"/>
        </w:numPr>
        <w:spacing w:after="160" w:line="259" w:lineRule="auto"/>
      </w:pPr>
      <w:r>
        <w:t>Supplies report or listing of types of supplies included in the supplies total is sufficient in most cases.</w:t>
      </w:r>
    </w:p>
    <w:p w14:paraId="49061337" w14:textId="77777777" w:rsidR="0014439D" w:rsidRDefault="0014439D" w:rsidP="0014439D">
      <w:pPr>
        <w:pStyle w:val="ListParagraph"/>
        <w:numPr>
          <w:ilvl w:val="0"/>
          <w:numId w:val="5"/>
        </w:numPr>
        <w:spacing w:after="160" w:line="259" w:lineRule="auto"/>
      </w:pPr>
      <w:r>
        <w:t>Scanned images of invoices for all Vendors must be submitted when required.</w:t>
      </w:r>
    </w:p>
    <w:p w14:paraId="49061338" w14:textId="77777777" w:rsidR="0014439D" w:rsidRDefault="0014439D" w:rsidP="0014439D">
      <w:pPr>
        <w:pStyle w:val="ListParagraph"/>
        <w:numPr>
          <w:ilvl w:val="0"/>
          <w:numId w:val="5"/>
        </w:numPr>
        <w:spacing w:after="160" w:line="259" w:lineRule="auto"/>
      </w:pPr>
      <w:r>
        <w:t xml:space="preserve">Other direct costs report or a listing of all other direct costs </w:t>
      </w:r>
      <w:r w:rsidRPr="007A6221">
        <w:t>AND</w:t>
      </w:r>
      <w:r w:rsidRPr="00A36C5B">
        <w:rPr>
          <w:b/>
        </w:rPr>
        <w:t xml:space="preserve"> </w:t>
      </w:r>
      <w:r>
        <w:t xml:space="preserve">scanned images of invoices/receipts for any cost over $50,000 must be submitted when required. </w:t>
      </w:r>
    </w:p>
    <w:p w14:paraId="49061339" w14:textId="77777777" w:rsidR="0014439D" w:rsidRDefault="0014439D" w:rsidP="0014439D">
      <w:pPr>
        <w:pStyle w:val="ListParagraph"/>
        <w:numPr>
          <w:ilvl w:val="0"/>
          <w:numId w:val="5"/>
        </w:numPr>
      </w:pPr>
      <w:r>
        <w:t>Legible scans or other electronic copies of the subject invoices or receipts are mandatory where required or requested.</w:t>
      </w:r>
    </w:p>
    <w:p w14:paraId="4906133C" w14:textId="77777777" w:rsidR="00F66735" w:rsidRDefault="00F66735" w:rsidP="00F66735">
      <w:pPr>
        <w:keepLines/>
        <w:widowControl w:val="0"/>
        <w:autoSpaceDE w:val="0"/>
        <w:autoSpaceDN w:val="0"/>
        <w:adjustRightInd w:val="0"/>
        <w:contextualSpacing/>
        <w:rPr>
          <w:i/>
        </w:rPr>
      </w:pPr>
    </w:p>
    <w:p w14:paraId="4906133D" w14:textId="77777777" w:rsidR="00304FFC" w:rsidRPr="00F66735" w:rsidRDefault="00304FFC" w:rsidP="00F66735">
      <w:pPr>
        <w:keepLines/>
        <w:widowControl w:val="0"/>
        <w:autoSpaceDE w:val="0"/>
        <w:autoSpaceDN w:val="0"/>
        <w:adjustRightInd w:val="0"/>
        <w:contextualSpacing/>
        <w:rPr>
          <w:i/>
        </w:rPr>
      </w:pPr>
      <w:r w:rsidRPr="00F66735">
        <w:rPr>
          <w:i/>
        </w:rPr>
        <w:t>Indirect Costs</w:t>
      </w:r>
    </w:p>
    <w:p w14:paraId="4906133E" w14:textId="77777777" w:rsidR="00304FFC" w:rsidRDefault="00304FFC" w:rsidP="00F66735">
      <w:pPr>
        <w:pStyle w:val="ListParagraph"/>
        <w:keepLines/>
        <w:widowControl w:val="0"/>
        <w:numPr>
          <w:ilvl w:val="0"/>
          <w:numId w:val="8"/>
        </w:numPr>
        <w:autoSpaceDE w:val="0"/>
        <w:autoSpaceDN w:val="0"/>
        <w:adjustRightInd w:val="0"/>
        <w:rPr>
          <w:szCs w:val="24"/>
        </w:rPr>
      </w:pPr>
      <w:r w:rsidRPr="00304FFC">
        <w:rPr>
          <w:szCs w:val="24"/>
        </w:rPr>
        <w:t xml:space="preserve">Recipients should refer to their award Special Terms and Conditions for </w:t>
      </w:r>
      <w:r w:rsidR="00043DE5">
        <w:rPr>
          <w:szCs w:val="24"/>
        </w:rPr>
        <w:t xml:space="preserve">indirect cost </w:t>
      </w:r>
      <w:r w:rsidRPr="00304FFC">
        <w:rPr>
          <w:szCs w:val="24"/>
        </w:rPr>
        <w:t>requirements</w:t>
      </w:r>
      <w:r>
        <w:rPr>
          <w:szCs w:val="24"/>
        </w:rPr>
        <w:t xml:space="preserve"> u</w:t>
      </w:r>
      <w:r w:rsidRPr="00304FFC">
        <w:rPr>
          <w:szCs w:val="24"/>
        </w:rPr>
        <w:t>nder their award.</w:t>
      </w:r>
    </w:p>
    <w:p w14:paraId="4906133F" w14:textId="77777777" w:rsidR="00043DE5" w:rsidRDefault="00C97422" w:rsidP="00F66735">
      <w:pPr>
        <w:pStyle w:val="ListParagraph"/>
        <w:keepLines/>
        <w:widowControl w:val="0"/>
        <w:numPr>
          <w:ilvl w:val="0"/>
          <w:numId w:val="8"/>
        </w:numPr>
        <w:autoSpaceDE w:val="0"/>
        <w:autoSpaceDN w:val="0"/>
        <w:adjustRightInd w:val="0"/>
        <w:rPr>
          <w:szCs w:val="24"/>
        </w:rPr>
      </w:pPr>
      <w:r>
        <w:rPr>
          <w:szCs w:val="24"/>
        </w:rPr>
        <w:t>EERE will not approve requests for payment of indirect costs based on a rate that exceeds the indirect rate specified in the award Special Terms and Conditions.</w:t>
      </w:r>
    </w:p>
    <w:p w14:paraId="49061341" w14:textId="491B7FBD" w:rsidR="007E1393" w:rsidRDefault="007E1393" w:rsidP="00F66735">
      <w:pPr>
        <w:pStyle w:val="ListParagraph"/>
        <w:widowControl w:val="0"/>
        <w:numPr>
          <w:ilvl w:val="0"/>
          <w:numId w:val="8"/>
        </w:numPr>
        <w:autoSpaceDE w:val="0"/>
        <w:autoSpaceDN w:val="0"/>
        <w:adjustRightInd w:val="0"/>
        <w:rPr>
          <w:szCs w:val="24"/>
        </w:rPr>
      </w:pPr>
      <w:r w:rsidRPr="007E1393">
        <w:rPr>
          <w:szCs w:val="24"/>
        </w:rPr>
        <w:t xml:space="preserve">To expedite DOE review and approval, Recipients should provide a complete calculation of applicable indirect costs with each payment </w:t>
      </w:r>
      <w:r w:rsidR="00176341" w:rsidRPr="007E1393">
        <w:rPr>
          <w:szCs w:val="24"/>
        </w:rPr>
        <w:t>request and</w:t>
      </w:r>
      <w:r w:rsidRPr="007E1393">
        <w:rPr>
          <w:szCs w:val="24"/>
        </w:rPr>
        <w:t xml:space="preserve"> must provide an explanation if the applied indirect cost rate varies from the rate specified in the award Special Terms and Conditions</w:t>
      </w:r>
      <w:r>
        <w:rPr>
          <w:szCs w:val="24"/>
        </w:rPr>
        <w:t>.</w:t>
      </w:r>
    </w:p>
    <w:p w14:paraId="49061342" w14:textId="77777777" w:rsidR="00145F95" w:rsidRDefault="00145F95" w:rsidP="00F66735">
      <w:pPr>
        <w:pStyle w:val="ListParagraph"/>
        <w:widowControl w:val="0"/>
        <w:numPr>
          <w:ilvl w:val="0"/>
          <w:numId w:val="8"/>
        </w:numPr>
        <w:autoSpaceDE w:val="0"/>
        <w:autoSpaceDN w:val="0"/>
        <w:adjustRightInd w:val="0"/>
        <w:rPr>
          <w:szCs w:val="24"/>
        </w:rPr>
      </w:pPr>
      <w:r>
        <w:rPr>
          <w:szCs w:val="24"/>
        </w:rPr>
        <w:t>Recipients are reminded that an annual true up of indirect costs must be completed with your cognizant agency.</w:t>
      </w:r>
    </w:p>
    <w:p w14:paraId="49061343" w14:textId="77777777" w:rsidR="00145F95" w:rsidRDefault="00043DE5" w:rsidP="00F66735">
      <w:pPr>
        <w:pStyle w:val="ListParagraph"/>
        <w:widowControl w:val="0"/>
        <w:numPr>
          <w:ilvl w:val="1"/>
          <w:numId w:val="8"/>
        </w:numPr>
        <w:autoSpaceDE w:val="0"/>
        <w:autoSpaceDN w:val="0"/>
        <w:adjustRightInd w:val="0"/>
        <w:rPr>
          <w:szCs w:val="24"/>
        </w:rPr>
      </w:pPr>
      <w:r>
        <w:rPr>
          <w:szCs w:val="24"/>
        </w:rPr>
        <w:t xml:space="preserve">If this true up reveals the </w:t>
      </w:r>
      <w:r w:rsidR="003854FA">
        <w:rPr>
          <w:szCs w:val="24"/>
        </w:rPr>
        <w:t>actual</w:t>
      </w:r>
      <w:r>
        <w:rPr>
          <w:szCs w:val="24"/>
        </w:rPr>
        <w:t xml:space="preserve"> indirect costs are less </w:t>
      </w:r>
      <w:r w:rsidR="003854FA">
        <w:rPr>
          <w:szCs w:val="24"/>
        </w:rPr>
        <w:t>than costs</w:t>
      </w:r>
      <w:r>
        <w:rPr>
          <w:szCs w:val="24"/>
        </w:rPr>
        <w:t xml:space="preserve"> reimbursed by DOE, the Recipient must refund the difference.</w:t>
      </w:r>
    </w:p>
    <w:p w14:paraId="49061344" w14:textId="77777777" w:rsidR="00043DE5" w:rsidRPr="00304FFC" w:rsidRDefault="00043DE5" w:rsidP="00F66735">
      <w:pPr>
        <w:pStyle w:val="ListParagraph"/>
        <w:widowControl w:val="0"/>
        <w:numPr>
          <w:ilvl w:val="1"/>
          <w:numId w:val="8"/>
        </w:numPr>
        <w:autoSpaceDE w:val="0"/>
        <w:autoSpaceDN w:val="0"/>
        <w:adjustRightInd w:val="0"/>
        <w:rPr>
          <w:szCs w:val="24"/>
        </w:rPr>
      </w:pPr>
      <w:r>
        <w:rPr>
          <w:szCs w:val="24"/>
        </w:rPr>
        <w:t>EERE will not amend an Award solely to provide funds to cover increases in indirect cost rates.</w:t>
      </w:r>
    </w:p>
    <w:p w14:paraId="49061345" w14:textId="77777777" w:rsidR="0014439D" w:rsidRDefault="0014439D" w:rsidP="0014439D"/>
    <w:sectPr w:rsidR="0014439D" w:rsidSect="0097072E">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134C" w14:textId="77777777" w:rsidR="00A11C9A" w:rsidRDefault="00A11C9A" w:rsidP="00DD3B56">
      <w:r>
        <w:separator/>
      </w:r>
    </w:p>
  </w:endnote>
  <w:endnote w:type="continuationSeparator" w:id="0">
    <w:p w14:paraId="4906134D" w14:textId="77777777" w:rsidR="00A11C9A" w:rsidRDefault="00A11C9A" w:rsidP="00DD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230891"/>
      <w:docPartObj>
        <w:docPartGallery w:val="Page Numbers (Bottom of Page)"/>
        <w:docPartUnique/>
      </w:docPartObj>
    </w:sdtPr>
    <w:sdtEndPr>
      <w:rPr>
        <w:noProof/>
      </w:rPr>
    </w:sdtEndPr>
    <w:sdtContent>
      <w:p w14:paraId="4906134E" w14:textId="3655A431" w:rsidR="00D57884" w:rsidRDefault="00D57884" w:rsidP="00D57884">
        <w:pPr>
          <w:pStyle w:val="Footer"/>
          <w:jc w:val="center"/>
        </w:pPr>
      </w:p>
      <w:p w14:paraId="49061350" w14:textId="77777777" w:rsidR="00043DE5" w:rsidRDefault="00043DE5">
        <w:pPr>
          <w:pStyle w:val="Footer"/>
          <w:jc w:val="center"/>
        </w:pPr>
        <w:r>
          <w:fldChar w:fldCharType="begin"/>
        </w:r>
        <w:r>
          <w:instrText xml:space="preserve"> PAGE   \* MERGEFORMAT </w:instrText>
        </w:r>
        <w:r>
          <w:fldChar w:fldCharType="separate"/>
        </w:r>
        <w:r w:rsidR="008772D0">
          <w:rPr>
            <w:noProof/>
          </w:rPr>
          <w:t>1</w:t>
        </w:r>
        <w:r>
          <w:rPr>
            <w:noProof/>
          </w:rPr>
          <w:fldChar w:fldCharType="end"/>
        </w:r>
      </w:p>
    </w:sdtContent>
  </w:sdt>
  <w:p w14:paraId="49061351" w14:textId="77777777" w:rsidR="00043DE5" w:rsidRDefault="00043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3905" w14:textId="454466CE" w:rsidR="0097072E" w:rsidRDefault="0097072E">
    <w:pPr>
      <w:pStyle w:val="Footer"/>
    </w:pPr>
    <w:r w:rsidRPr="00D57884">
      <w:rPr>
        <w:rFonts w:ascii="Calibri" w:hAnsi="Calibri"/>
        <w:i/>
        <w:sz w:val="20"/>
      </w:rPr>
      <w:t xml:space="preserve">Template Version </w:t>
    </w:r>
    <w:r w:rsidR="00BF1F78">
      <w:rPr>
        <w:rFonts w:ascii="Calibri" w:hAnsi="Calibri"/>
        <w:i/>
        <w:sz w:val="20"/>
      </w:rPr>
      <w:t>02/01/2023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134A" w14:textId="77777777" w:rsidR="00A11C9A" w:rsidRDefault="00A11C9A" w:rsidP="00DD3B56">
      <w:r>
        <w:separator/>
      </w:r>
    </w:p>
  </w:footnote>
  <w:footnote w:type="continuationSeparator" w:id="0">
    <w:p w14:paraId="4906134B" w14:textId="77777777" w:rsidR="00A11C9A" w:rsidRDefault="00A11C9A" w:rsidP="00DD3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D3C9" w14:textId="441C9A6B" w:rsidR="0097072E" w:rsidRDefault="0097072E" w:rsidP="0097072E">
    <w:pPr>
      <w:pStyle w:val="Header"/>
      <w:tabs>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24AD" w14:textId="224EEC23" w:rsidR="0097072E" w:rsidRDefault="0097072E">
    <w:pPr>
      <w:pStyle w:val="Header"/>
    </w:pPr>
    <w:r>
      <w:rPr>
        <w:noProof/>
      </w:rPr>
      <mc:AlternateContent>
        <mc:Choice Requires="wps">
          <w:drawing>
            <wp:anchor distT="0" distB="0" distL="114300" distR="114300" simplePos="0" relativeHeight="251663360" behindDoc="0" locked="0" layoutInCell="1" allowOverlap="1" wp14:anchorId="63FACC67" wp14:editId="54965397">
              <wp:simplePos x="0" y="0"/>
              <wp:positionH relativeFrom="column">
                <wp:posOffset>2450592</wp:posOffset>
              </wp:positionH>
              <wp:positionV relativeFrom="paragraph">
                <wp:posOffset>-7315</wp:posOffset>
              </wp:positionV>
              <wp:extent cx="3477997" cy="6762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997" cy="676275"/>
                      </a:xfrm>
                      <a:prstGeom prst="rect">
                        <a:avLst/>
                      </a:prstGeom>
                      <a:noFill/>
                      <a:ln w="9525">
                        <a:noFill/>
                        <a:miter lim="800000"/>
                        <a:headEnd/>
                        <a:tailEnd/>
                      </a:ln>
                    </wps:spPr>
                    <wps:txbx>
                      <w:txbxContent>
                        <w:p w14:paraId="488BD551" w14:textId="77777777" w:rsidR="0097072E" w:rsidRPr="00C22B80" w:rsidRDefault="0097072E" w:rsidP="0097072E">
                          <w:pPr>
                            <w:ind w:left="720"/>
                            <w:jc w:val="right"/>
                            <w:rPr>
                              <w:b/>
                              <w:color w:val="FFFFFF" w:themeColor="background1"/>
                              <w:sz w:val="28"/>
                              <w:szCs w:val="28"/>
                            </w:rPr>
                          </w:pPr>
                          <w:r>
                            <w:rPr>
                              <w:b/>
                              <w:color w:val="FFFFFF" w:themeColor="background1"/>
                              <w:sz w:val="28"/>
                              <w:szCs w:val="28"/>
                            </w:rPr>
                            <w:t>EERE G</w:t>
                          </w:r>
                          <w:r w:rsidRPr="00C1695F">
                            <w:rPr>
                              <w:b/>
                              <w:color w:val="FFFFFF" w:themeColor="background1"/>
                              <w:sz w:val="28"/>
                              <w:szCs w:val="28"/>
                            </w:rPr>
                            <w:t xml:space="preserve"> 413.133</w:t>
                          </w:r>
                          <w:r>
                            <w:rPr>
                              <w:b/>
                              <w:color w:val="FFFFFF" w:themeColor="background1"/>
                              <w:sz w:val="28"/>
                              <w:szCs w:val="28"/>
                            </w:rPr>
                            <w:t xml:space="preserve">:  Recipient Guidance for Invoicing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ACC67" id="_x0000_t202" coordsize="21600,21600" o:spt="202" path="m,l,21600r21600,l21600,xe">
              <v:stroke joinstyle="miter"/>
              <v:path gradientshapeok="t" o:connecttype="rect"/>
            </v:shapetype>
            <v:shape id="Text Box 4" o:spid="_x0000_s1026" type="#_x0000_t202" style="position:absolute;margin-left:192.95pt;margin-top:-.6pt;width:273.8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" filled="f" stroked="f">
              <v:textbox>
                <w:txbxContent>
                  <w:p w14:paraId="488BD551" w14:textId="77777777" w:rsidR="0097072E" w:rsidRPr="00C22B80" w:rsidRDefault="0097072E" w:rsidP="0097072E">
                    <w:pPr>
                      <w:ind w:left="720"/>
                      <w:jc w:val="right"/>
                      <w:rPr>
                        <w:b/>
                        <w:color w:val="FFFFFF" w:themeColor="background1"/>
                        <w:sz w:val="28"/>
                        <w:szCs w:val="28"/>
                      </w:rPr>
                    </w:pPr>
                    <w:r>
                      <w:rPr>
                        <w:b/>
                        <w:color w:val="FFFFFF" w:themeColor="background1"/>
                        <w:sz w:val="28"/>
                        <w:szCs w:val="28"/>
                      </w:rPr>
                      <w:t>EERE G</w:t>
                    </w:r>
                    <w:r w:rsidRPr="00C1695F">
                      <w:rPr>
                        <w:b/>
                        <w:color w:val="FFFFFF" w:themeColor="background1"/>
                        <w:sz w:val="28"/>
                        <w:szCs w:val="28"/>
                      </w:rPr>
                      <w:t xml:space="preserve"> 413.133</w:t>
                    </w:r>
                    <w:r>
                      <w:rPr>
                        <w:b/>
                        <w:color w:val="FFFFFF" w:themeColor="background1"/>
                        <w:sz w:val="28"/>
                        <w:szCs w:val="28"/>
                      </w:rPr>
                      <w:t xml:space="preserve">:  Recipient Guidance for Invoicing </w:t>
                    </w:r>
                  </w:p>
                </w:txbxContent>
              </v:textbox>
            </v:shape>
          </w:pict>
        </mc:Fallback>
      </mc:AlternateContent>
    </w:r>
    <w:r>
      <w:rPr>
        <w:noProof/>
      </w:rPr>
      <w:drawing>
        <wp:inline distT="0" distB="0" distL="0" distR="0" wp14:anchorId="3E58C4C5" wp14:editId="4DA6E7B6">
          <wp:extent cx="5943600" cy="5702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570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52B6C"/>
    <w:multiLevelType w:val="hybridMultilevel"/>
    <w:tmpl w:val="17F2FE96"/>
    <w:lvl w:ilvl="0" w:tplc="06F431DC">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F1378"/>
    <w:multiLevelType w:val="hybridMultilevel"/>
    <w:tmpl w:val="28E2DC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0B424E"/>
    <w:multiLevelType w:val="hybridMultilevel"/>
    <w:tmpl w:val="25800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E13F5"/>
    <w:multiLevelType w:val="hybridMultilevel"/>
    <w:tmpl w:val="9B848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493604"/>
    <w:multiLevelType w:val="hybridMultilevel"/>
    <w:tmpl w:val="00DAE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92986"/>
    <w:multiLevelType w:val="hybridMultilevel"/>
    <w:tmpl w:val="7E143382"/>
    <w:lvl w:ilvl="0" w:tplc="06D6BC12">
      <w:start w:val="1"/>
      <w:numFmt w:val="upperLetter"/>
      <w:lvlText w:val="%1."/>
      <w:lvlJc w:val="left"/>
      <w:pPr>
        <w:ind w:left="108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3B5555"/>
    <w:multiLevelType w:val="hybridMultilevel"/>
    <w:tmpl w:val="B0B8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35F59"/>
    <w:multiLevelType w:val="hybridMultilevel"/>
    <w:tmpl w:val="32F40B46"/>
    <w:lvl w:ilvl="0" w:tplc="FC84DDEE">
      <w:start w:val="1"/>
      <w:numFmt w:val="bullet"/>
      <w:lvlText w:val=""/>
      <w:lvlJc w:val="left"/>
      <w:pPr>
        <w:tabs>
          <w:tab w:val="num" w:pos="720"/>
        </w:tabs>
        <w:ind w:left="720" w:hanging="360"/>
      </w:pPr>
      <w:rPr>
        <w:rFonts w:ascii="Wingdings" w:hAnsi="Wingdings" w:hint="default"/>
      </w:rPr>
    </w:lvl>
    <w:lvl w:ilvl="1" w:tplc="8D50DC06" w:tentative="1">
      <w:start w:val="1"/>
      <w:numFmt w:val="bullet"/>
      <w:lvlText w:val=""/>
      <w:lvlJc w:val="left"/>
      <w:pPr>
        <w:tabs>
          <w:tab w:val="num" w:pos="1440"/>
        </w:tabs>
        <w:ind w:left="1440" w:hanging="360"/>
      </w:pPr>
      <w:rPr>
        <w:rFonts w:ascii="Wingdings" w:hAnsi="Wingdings" w:hint="default"/>
      </w:rPr>
    </w:lvl>
    <w:lvl w:ilvl="2" w:tplc="5BCAD214" w:tentative="1">
      <w:start w:val="1"/>
      <w:numFmt w:val="bullet"/>
      <w:lvlText w:val=""/>
      <w:lvlJc w:val="left"/>
      <w:pPr>
        <w:tabs>
          <w:tab w:val="num" w:pos="2160"/>
        </w:tabs>
        <w:ind w:left="2160" w:hanging="360"/>
      </w:pPr>
      <w:rPr>
        <w:rFonts w:ascii="Wingdings" w:hAnsi="Wingdings" w:hint="default"/>
      </w:rPr>
    </w:lvl>
    <w:lvl w:ilvl="3" w:tplc="EFAAFAF4" w:tentative="1">
      <w:start w:val="1"/>
      <w:numFmt w:val="bullet"/>
      <w:lvlText w:val=""/>
      <w:lvlJc w:val="left"/>
      <w:pPr>
        <w:tabs>
          <w:tab w:val="num" w:pos="2880"/>
        </w:tabs>
        <w:ind w:left="2880" w:hanging="360"/>
      </w:pPr>
      <w:rPr>
        <w:rFonts w:ascii="Wingdings" w:hAnsi="Wingdings" w:hint="default"/>
      </w:rPr>
    </w:lvl>
    <w:lvl w:ilvl="4" w:tplc="11ECCB5A" w:tentative="1">
      <w:start w:val="1"/>
      <w:numFmt w:val="bullet"/>
      <w:lvlText w:val=""/>
      <w:lvlJc w:val="left"/>
      <w:pPr>
        <w:tabs>
          <w:tab w:val="num" w:pos="3600"/>
        </w:tabs>
        <w:ind w:left="3600" w:hanging="360"/>
      </w:pPr>
      <w:rPr>
        <w:rFonts w:ascii="Wingdings" w:hAnsi="Wingdings" w:hint="default"/>
      </w:rPr>
    </w:lvl>
    <w:lvl w:ilvl="5" w:tplc="CEDC7D34" w:tentative="1">
      <w:start w:val="1"/>
      <w:numFmt w:val="bullet"/>
      <w:lvlText w:val=""/>
      <w:lvlJc w:val="left"/>
      <w:pPr>
        <w:tabs>
          <w:tab w:val="num" w:pos="4320"/>
        </w:tabs>
        <w:ind w:left="4320" w:hanging="360"/>
      </w:pPr>
      <w:rPr>
        <w:rFonts w:ascii="Wingdings" w:hAnsi="Wingdings" w:hint="default"/>
      </w:rPr>
    </w:lvl>
    <w:lvl w:ilvl="6" w:tplc="A01E46AE" w:tentative="1">
      <w:start w:val="1"/>
      <w:numFmt w:val="bullet"/>
      <w:lvlText w:val=""/>
      <w:lvlJc w:val="left"/>
      <w:pPr>
        <w:tabs>
          <w:tab w:val="num" w:pos="5040"/>
        </w:tabs>
        <w:ind w:left="5040" w:hanging="360"/>
      </w:pPr>
      <w:rPr>
        <w:rFonts w:ascii="Wingdings" w:hAnsi="Wingdings" w:hint="default"/>
      </w:rPr>
    </w:lvl>
    <w:lvl w:ilvl="7" w:tplc="02E0B792" w:tentative="1">
      <w:start w:val="1"/>
      <w:numFmt w:val="bullet"/>
      <w:lvlText w:val=""/>
      <w:lvlJc w:val="left"/>
      <w:pPr>
        <w:tabs>
          <w:tab w:val="num" w:pos="5760"/>
        </w:tabs>
        <w:ind w:left="5760" w:hanging="360"/>
      </w:pPr>
      <w:rPr>
        <w:rFonts w:ascii="Wingdings" w:hAnsi="Wingdings" w:hint="default"/>
      </w:rPr>
    </w:lvl>
    <w:lvl w:ilvl="8" w:tplc="DA92CAEE" w:tentative="1">
      <w:start w:val="1"/>
      <w:numFmt w:val="bullet"/>
      <w:lvlText w:val=""/>
      <w:lvlJc w:val="left"/>
      <w:pPr>
        <w:tabs>
          <w:tab w:val="num" w:pos="6480"/>
        </w:tabs>
        <w:ind w:left="6480" w:hanging="360"/>
      </w:pPr>
      <w:rPr>
        <w:rFonts w:ascii="Wingdings" w:hAnsi="Wingdings" w:hint="default"/>
      </w:rPr>
    </w:lvl>
  </w:abstractNum>
  <w:num w:numId="1" w16cid:durableId="1053702036">
    <w:abstractNumId w:val="1"/>
  </w:num>
  <w:num w:numId="2" w16cid:durableId="476802567">
    <w:abstractNumId w:val="5"/>
  </w:num>
  <w:num w:numId="3" w16cid:durableId="1345475195">
    <w:abstractNumId w:val="0"/>
  </w:num>
  <w:num w:numId="4" w16cid:durableId="104429078">
    <w:abstractNumId w:val="7"/>
  </w:num>
  <w:num w:numId="5" w16cid:durableId="913978465">
    <w:abstractNumId w:val="2"/>
  </w:num>
  <w:num w:numId="6" w16cid:durableId="908266571">
    <w:abstractNumId w:val="3"/>
  </w:num>
  <w:num w:numId="7" w16cid:durableId="1409184077">
    <w:abstractNumId w:val="6"/>
  </w:num>
  <w:num w:numId="8" w16cid:durableId="1628389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A7"/>
    <w:rsid w:val="00011B52"/>
    <w:rsid w:val="00027A96"/>
    <w:rsid w:val="00043DE5"/>
    <w:rsid w:val="00091C15"/>
    <w:rsid w:val="00092374"/>
    <w:rsid w:val="000B6A09"/>
    <w:rsid w:val="000B6E62"/>
    <w:rsid w:val="000C0A92"/>
    <w:rsid w:val="000C66D6"/>
    <w:rsid w:val="001303F7"/>
    <w:rsid w:val="0014439D"/>
    <w:rsid w:val="00145F95"/>
    <w:rsid w:val="001551FD"/>
    <w:rsid w:val="00176341"/>
    <w:rsid w:val="001C3A4D"/>
    <w:rsid w:val="0026051C"/>
    <w:rsid w:val="00261B37"/>
    <w:rsid w:val="002745FA"/>
    <w:rsid w:val="002C3FAD"/>
    <w:rsid w:val="002D52F9"/>
    <w:rsid w:val="00303F60"/>
    <w:rsid w:val="00304FFC"/>
    <w:rsid w:val="00365997"/>
    <w:rsid w:val="00377F3F"/>
    <w:rsid w:val="003854FA"/>
    <w:rsid w:val="004118BB"/>
    <w:rsid w:val="00443827"/>
    <w:rsid w:val="00461794"/>
    <w:rsid w:val="004A7954"/>
    <w:rsid w:val="004D40FF"/>
    <w:rsid w:val="004F094D"/>
    <w:rsid w:val="0057347B"/>
    <w:rsid w:val="005D3B06"/>
    <w:rsid w:val="005E032E"/>
    <w:rsid w:val="006029FE"/>
    <w:rsid w:val="00605BD3"/>
    <w:rsid w:val="00610624"/>
    <w:rsid w:val="00673E2B"/>
    <w:rsid w:val="006D2F0F"/>
    <w:rsid w:val="00716C82"/>
    <w:rsid w:val="0072074A"/>
    <w:rsid w:val="0075018F"/>
    <w:rsid w:val="007D02CD"/>
    <w:rsid w:val="007E1393"/>
    <w:rsid w:val="00807C0C"/>
    <w:rsid w:val="00847F00"/>
    <w:rsid w:val="008772D0"/>
    <w:rsid w:val="008A6A3E"/>
    <w:rsid w:val="008C7933"/>
    <w:rsid w:val="008F282C"/>
    <w:rsid w:val="00966040"/>
    <w:rsid w:val="0097072E"/>
    <w:rsid w:val="009D3D63"/>
    <w:rsid w:val="00A01753"/>
    <w:rsid w:val="00A11C9A"/>
    <w:rsid w:val="00A14B7A"/>
    <w:rsid w:val="00A42E65"/>
    <w:rsid w:val="00A63533"/>
    <w:rsid w:val="00AB5297"/>
    <w:rsid w:val="00B1296C"/>
    <w:rsid w:val="00B225D7"/>
    <w:rsid w:val="00B30CAB"/>
    <w:rsid w:val="00B3336E"/>
    <w:rsid w:val="00BE4DF3"/>
    <w:rsid w:val="00BF1F78"/>
    <w:rsid w:val="00BF5AF0"/>
    <w:rsid w:val="00C1695F"/>
    <w:rsid w:val="00C303A7"/>
    <w:rsid w:val="00C44769"/>
    <w:rsid w:val="00C97422"/>
    <w:rsid w:val="00D52EC5"/>
    <w:rsid w:val="00D57884"/>
    <w:rsid w:val="00D63782"/>
    <w:rsid w:val="00DA3D93"/>
    <w:rsid w:val="00DD3B56"/>
    <w:rsid w:val="00DE3596"/>
    <w:rsid w:val="00E26D71"/>
    <w:rsid w:val="00E40838"/>
    <w:rsid w:val="00E827DE"/>
    <w:rsid w:val="00F60844"/>
    <w:rsid w:val="00F66735"/>
    <w:rsid w:val="00FD1791"/>
    <w:rsid w:val="00FF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061301"/>
  <w15:docId w15:val="{6D4190FB-0A65-4A9E-BB66-57D036C6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A7"/>
    <w:pPr>
      <w:spacing w:after="0" w:line="240"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03A7"/>
    <w:rPr>
      <w:color w:val="0000FF"/>
      <w:u w:val="single"/>
    </w:rPr>
  </w:style>
  <w:style w:type="paragraph" w:styleId="ListParagraph">
    <w:name w:val="List Paragraph"/>
    <w:basedOn w:val="Normal"/>
    <w:link w:val="ListParagraphChar"/>
    <w:uiPriority w:val="34"/>
    <w:qFormat/>
    <w:rsid w:val="00C303A7"/>
    <w:pPr>
      <w:ind w:left="720"/>
      <w:contextualSpacing/>
    </w:pPr>
  </w:style>
  <w:style w:type="character" w:customStyle="1" w:styleId="ListParagraphChar">
    <w:name w:val="List Paragraph Char"/>
    <w:basedOn w:val="DefaultParagraphFont"/>
    <w:link w:val="ListParagraph"/>
    <w:uiPriority w:val="34"/>
    <w:locked/>
    <w:rsid w:val="00C303A7"/>
    <w:rPr>
      <w:rFonts w:eastAsia="Times New Roman" w:cs="Times New Roman"/>
      <w:sz w:val="24"/>
      <w:szCs w:val="20"/>
    </w:rPr>
  </w:style>
  <w:style w:type="character" w:styleId="FollowedHyperlink">
    <w:name w:val="FollowedHyperlink"/>
    <w:basedOn w:val="DefaultParagraphFont"/>
    <w:uiPriority w:val="99"/>
    <w:semiHidden/>
    <w:unhideWhenUsed/>
    <w:rsid w:val="00673E2B"/>
    <w:rPr>
      <w:color w:val="954F72" w:themeColor="followedHyperlink"/>
      <w:u w:val="single"/>
    </w:rPr>
  </w:style>
  <w:style w:type="paragraph" w:styleId="Header">
    <w:name w:val="header"/>
    <w:basedOn w:val="Normal"/>
    <w:link w:val="HeaderChar"/>
    <w:uiPriority w:val="99"/>
    <w:unhideWhenUsed/>
    <w:rsid w:val="00DD3B56"/>
    <w:pPr>
      <w:tabs>
        <w:tab w:val="center" w:pos="4680"/>
        <w:tab w:val="right" w:pos="9360"/>
      </w:tabs>
    </w:pPr>
  </w:style>
  <w:style w:type="character" w:customStyle="1" w:styleId="HeaderChar">
    <w:name w:val="Header Char"/>
    <w:basedOn w:val="DefaultParagraphFont"/>
    <w:link w:val="Header"/>
    <w:uiPriority w:val="99"/>
    <w:rsid w:val="00DD3B56"/>
    <w:rPr>
      <w:rFonts w:eastAsia="Times New Roman" w:cs="Times New Roman"/>
      <w:sz w:val="24"/>
      <w:szCs w:val="20"/>
    </w:rPr>
  </w:style>
  <w:style w:type="paragraph" w:styleId="Footer">
    <w:name w:val="footer"/>
    <w:basedOn w:val="Normal"/>
    <w:link w:val="FooterChar"/>
    <w:uiPriority w:val="99"/>
    <w:unhideWhenUsed/>
    <w:rsid w:val="00DD3B56"/>
    <w:pPr>
      <w:tabs>
        <w:tab w:val="center" w:pos="4680"/>
        <w:tab w:val="right" w:pos="9360"/>
      </w:tabs>
    </w:pPr>
  </w:style>
  <w:style w:type="character" w:customStyle="1" w:styleId="FooterChar">
    <w:name w:val="Footer Char"/>
    <w:basedOn w:val="DefaultParagraphFont"/>
    <w:link w:val="Footer"/>
    <w:uiPriority w:val="99"/>
    <w:rsid w:val="00DD3B56"/>
    <w:rPr>
      <w:rFonts w:eastAsia="Times New Roman" w:cs="Times New Roman"/>
      <w:sz w:val="24"/>
      <w:szCs w:val="20"/>
    </w:rPr>
  </w:style>
  <w:style w:type="paragraph" w:styleId="BalloonText">
    <w:name w:val="Balloon Text"/>
    <w:basedOn w:val="Normal"/>
    <w:link w:val="BalloonTextChar"/>
    <w:uiPriority w:val="99"/>
    <w:semiHidden/>
    <w:unhideWhenUsed/>
    <w:rsid w:val="00A14B7A"/>
    <w:rPr>
      <w:rFonts w:ascii="Tahoma" w:hAnsi="Tahoma" w:cs="Tahoma"/>
      <w:sz w:val="16"/>
      <w:szCs w:val="16"/>
    </w:rPr>
  </w:style>
  <w:style w:type="character" w:customStyle="1" w:styleId="BalloonTextChar">
    <w:name w:val="Balloon Text Char"/>
    <w:basedOn w:val="DefaultParagraphFont"/>
    <w:link w:val="BalloonText"/>
    <w:uiPriority w:val="99"/>
    <w:semiHidden/>
    <w:rsid w:val="00A14B7A"/>
    <w:rPr>
      <w:rFonts w:ascii="Tahoma" w:eastAsia="Times New Roman" w:hAnsi="Tahoma" w:cs="Tahoma"/>
      <w:sz w:val="16"/>
      <w:szCs w:val="16"/>
    </w:rPr>
  </w:style>
  <w:style w:type="paragraph" w:styleId="Revision">
    <w:name w:val="Revision"/>
    <w:hidden/>
    <w:uiPriority w:val="99"/>
    <w:semiHidden/>
    <w:rsid w:val="004A7954"/>
    <w:pPr>
      <w:spacing w:after="0" w:line="240" w:lineRule="auto"/>
    </w:pPr>
    <w:rPr>
      <w:rFonts w:eastAsia="Times New Roman" w:cs="Times New Roman"/>
      <w:sz w:val="24"/>
      <w:szCs w:val="20"/>
    </w:rPr>
  </w:style>
  <w:style w:type="character" w:styleId="CommentReference">
    <w:name w:val="annotation reference"/>
    <w:basedOn w:val="DefaultParagraphFont"/>
    <w:uiPriority w:val="99"/>
    <w:semiHidden/>
    <w:unhideWhenUsed/>
    <w:rsid w:val="00C44769"/>
    <w:rPr>
      <w:sz w:val="16"/>
      <w:szCs w:val="16"/>
    </w:rPr>
  </w:style>
  <w:style w:type="paragraph" w:styleId="CommentText">
    <w:name w:val="annotation text"/>
    <w:basedOn w:val="Normal"/>
    <w:link w:val="CommentTextChar"/>
    <w:uiPriority w:val="99"/>
    <w:unhideWhenUsed/>
    <w:rsid w:val="00C44769"/>
    <w:rPr>
      <w:sz w:val="20"/>
    </w:rPr>
  </w:style>
  <w:style w:type="character" w:customStyle="1" w:styleId="CommentTextChar">
    <w:name w:val="Comment Text Char"/>
    <w:basedOn w:val="DefaultParagraphFont"/>
    <w:link w:val="CommentText"/>
    <w:uiPriority w:val="99"/>
    <w:rsid w:val="00C4476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4769"/>
    <w:rPr>
      <w:b/>
      <w:bCs/>
    </w:rPr>
  </w:style>
  <w:style w:type="character" w:customStyle="1" w:styleId="CommentSubjectChar">
    <w:name w:val="Comment Subject Char"/>
    <w:basedOn w:val="CommentTextChar"/>
    <w:link w:val="CommentSubject"/>
    <w:uiPriority w:val="99"/>
    <w:semiHidden/>
    <w:rsid w:val="00C44769"/>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32634">
      <w:bodyDiv w:val="1"/>
      <w:marLeft w:val="0"/>
      <w:marRight w:val="0"/>
      <w:marTop w:val="0"/>
      <w:marBottom w:val="0"/>
      <w:divBdr>
        <w:top w:val="none" w:sz="0" w:space="0" w:color="auto"/>
        <w:left w:val="none" w:sz="0" w:space="0" w:color="auto"/>
        <w:bottom w:val="none" w:sz="0" w:space="0" w:color="auto"/>
        <w:right w:val="none" w:sz="0" w:space="0" w:color="auto"/>
      </w:divBdr>
      <w:divsChild>
        <w:div w:id="817455046">
          <w:marLeft w:val="547"/>
          <w:marRight w:val="0"/>
          <w:marTop w:val="96"/>
          <w:marBottom w:val="0"/>
          <w:divBdr>
            <w:top w:val="none" w:sz="0" w:space="0" w:color="auto"/>
            <w:left w:val="none" w:sz="0" w:space="0" w:color="auto"/>
            <w:bottom w:val="none" w:sz="0" w:space="0" w:color="auto"/>
            <w:right w:val="none" w:sz="0" w:space="0" w:color="auto"/>
          </w:divBdr>
        </w:div>
        <w:div w:id="980234174">
          <w:marLeft w:val="547"/>
          <w:marRight w:val="0"/>
          <w:marTop w:val="96"/>
          <w:marBottom w:val="0"/>
          <w:divBdr>
            <w:top w:val="none" w:sz="0" w:space="0" w:color="auto"/>
            <w:left w:val="none" w:sz="0" w:space="0" w:color="auto"/>
            <w:bottom w:val="none" w:sz="0" w:space="0" w:color="auto"/>
            <w:right w:val="none" w:sz="0" w:space="0" w:color="auto"/>
          </w:divBdr>
        </w:div>
        <w:div w:id="1633831068">
          <w:marLeft w:val="547"/>
          <w:marRight w:val="0"/>
          <w:marTop w:val="96"/>
          <w:marBottom w:val="0"/>
          <w:divBdr>
            <w:top w:val="none" w:sz="0" w:space="0" w:color="auto"/>
            <w:left w:val="none" w:sz="0" w:space="0" w:color="auto"/>
            <w:bottom w:val="none" w:sz="0" w:space="0" w:color="auto"/>
            <w:right w:val="none" w:sz="0" w:space="0" w:color="auto"/>
          </w:divBdr>
        </w:div>
        <w:div w:id="114689623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pers.doe.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sap.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9B6D68648A374F8A84C091C5312AC2" ma:contentTypeVersion="3" ma:contentTypeDescription="Create a new document." ma:contentTypeScope="" ma:versionID="f77e74bc894eccae678833a79bdaa9b5">
  <xsd:schema xmlns:xsd="http://www.w3.org/2001/XMLSchema" xmlns:xs="http://www.w3.org/2001/XMLSchema" xmlns:p="http://schemas.microsoft.com/office/2006/metadata/properties" xmlns:ns1="http://schemas.microsoft.com/sharepoint/v3" xmlns:ns2="c6d9b406-8ab6-4e35-b189-c607f551e6ff" xmlns:ns3="4a53122c-99ef-4056-b9d7-198bf3ffeec5" targetNamespace="http://schemas.microsoft.com/office/2006/metadata/properties" ma:root="true" ma:fieldsID="7c12f484e3fb86f03c8ea14277691a1c" ns1:_="" ns2:_="" ns3:_="">
    <xsd:import namespace="http://schemas.microsoft.com/sharepoint/v3"/>
    <xsd:import namespace="c6d9b406-8ab6-4e35-b189-c607f551e6ff"/>
    <xsd:import namespace="4a53122c-99ef-4056-b9d7-198bf3ffeec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53122c-99ef-4056-b9d7-198bf3ffeec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6d9b406-8ab6-4e35-b189-c607f551e6ff">PZK64XEQC5JR-1184640895-28</_dlc_DocId>
    <_dlc_DocIdUrl xmlns="c6d9b406-8ab6-4e35-b189-c607f551e6ff">
      <Url>https://eeredocman.ee.doe.gov/offices/EE-6/AdminLibrary/_layouts/15/DocIdRedir.aspx?ID=PZK64XEQC5JR-1184640895-28</Url>
      <Description>PZK64XEQC5JR-1184640895-28</Description>
    </_dlc_DocIdUrl>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8607A-70A2-4281-B331-A6797ACC7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b406-8ab6-4e35-b189-c607f551e6ff"/>
    <ds:schemaRef ds:uri="4a53122c-99ef-4056-b9d7-198bf3ffe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5F4EB-9361-40BD-87A4-DDF6228B80BD}">
  <ds:schemaRefs>
    <ds:schemaRef ds:uri="http://schemas.microsoft.com/sharepoint/events"/>
  </ds:schemaRefs>
</ds:datastoreItem>
</file>

<file path=customXml/itemProps3.xml><?xml version="1.0" encoding="utf-8"?>
<ds:datastoreItem xmlns:ds="http://schemas.openxmlformats.org/officeDocument/2006/customXml" ds:itemID="{24AD5E57-2B6E-49E9-8253-41FC3F0B2438}">
  <ds:schemaRefs>
    <ds:schemaRef ds:uri="http://schemas.microsoft.com/sharepoint/v3/contenttype/forms"/>
  </ds:schemaRefs>
</ds:datastoreItem>
</file>

<file path=customXml/itemProps4.xml><?xml version="1.0" encoding="utf-8"?>
<ds:datastoreItem xmlns:ds="http://schemas.openxmlformats.org/officeDocument/2006/customXml" ds:itemID="{8957E575-EC51-45E7-8A7E-4A744CBE9510}">
  <ds:schemaRefs>
    <ds:schemaRef ds:uri="http://www.w3.org/XML/1998/namespace"/>
    <ds:schemaRef ds:uri="http://purl.org/dc/dcmitype/"/>
    <ds:schemaRef ds:uri="http://purl.org/dc/elements/1.1/"/>
    <ds:schemaRef ds:uri="4a53122c-99ef-4056-b9d7-198bf3ffeec5"/>
    <ds:schemaRef ds:uri="http://purl.org/dc/term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c6d9b406-8ab6-4e35-b189-c607f551e6ff"/>
    <ds:schemaRef ds:uri="http://schemas.microsoft.com/office/2006/metadata/properties"/>
  </ds:schemaRefs>
</ds:datastoreItem>
</file>

<file path=customXml/itemProps5.xml><?xml version="1.0" encoding="utf-8"?>
<ds:datastoreItem xmlns:ds="http://schemas.openxmlformats.org/officeDocument/2006/customXml" ds:itemID="{F2DA8F61-ABCB-41C4-8D84-4DC6C083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1445</Words>
  <Characters>8237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EERE 336.5: Recipient Guidance for Invoicing</vt:lpstr>
    </vt:vector>
  </TitlesOfParts>
  <Company>U.S. Department of Energy</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EERE 336.5: Recipient Guidance for Invoicing</dc:title>
  <dc:subject>One of the guidance documents that serve as part of EERE's Funding Opportunity Announcements process.</dc:subject>
  <dc:creator>Schell, Chad</dc:creator>
  <cp:keywords/>
  <dc:description/>
  <cp:lastModifiedBy>Coy, Ava</cp:lastModifiedBy>
  <cp:revision>2</cp:revision>
  <dcterms:created xsi:type="dcterms:W3CDTF">2023-02-01T21:58:00Z</dcterms:created>
  <dcterms:modified xsi:type="dcterms:W3CDTF">2023-02-01T21:58:00Z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0x010100AC9B6D68648A374F8A84C091C5312AC2</vt:lpwstr>
  </property>
  <property fmtid="{D5CDD505-2E9C-101B-9397-08002B2CF9AE}" pid="3" name="_dlc_DocIdItemGuid">
    <vt:lpwstr>859d8ba2-f6d3-4ba9-8a23-3a3b2b3c8062</vt:lpwstr>
  </property>
</Properties>
</file>