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97000" w14:textId="57923FC7" w:rsidR="00935B62" w:rsidRPr="00023753" w:rsidRDefault="006927BD" w:rsidP="00023753">
      <w:pPr>
        <w:pStyle w:val="EEREHead01"/>
      </w:pPr>
      <w:r w:rsidRPr="00023753">
        <w:t>Distributed Energy Interconnection Checklist</w:t>
      </w:r>
    </w:p>
    <w:p w14:paraId="7FFAB7D7" w14:textId="528E4270" w:rsidR="00B60380" w:rsidRPr="00023753" w:rsidRDefault="00A25092" w:rsidP="00A62E7F">
      <w:pPr>
        <w:pStyle w:val="Heading2"/>
        <w:spacing w:before="0" w:after="120"/>
        <w:jc w:val="center"/>
        <w:rPr>
          <w:rFonts w:ascii="Franklin Gothic Medium" w:hAnsi="Franklin Gothic Medium"/>
          <w:color w:val="007934"/>
          <w:sz w:val="28"/>
          <w:szCs w:val="28"/>
        </w:rPr>
      </w:pPr>
      <w:r w:rsidRPr="00023753">
        <w:rPr>
          <w:rFonts w:ascii="Franklin Gothic Medium" w:hAnsi="Franklin Gothic Medium"/>
          <w:color w:val="007934"/>
          <w:sz w:val="28"/>
          <w:szCs w:val="28"/>
        </w:rPr>
        <w:t>T</w:t>
      </w:r>
      <w:r w:rsidR="00953992" w:rsidRPr="00023753">
        <w:rPr>
          <w:rFonts w:ascii="Franklin Gothic Medium" w:hAnsi="Franklin Gothic Medium"/>
          <w:color w:val="007934"/>
          <w:sz w:val="28"/>
          <w:szCs w:val="28"/>
        </w:rPr>
        <w:t>ask</w:t>
      </w:r>
      <w:r w:rsidRPr="00023753">
        <w:rPr>
          <w:rFonts w:ascii="Franklin Gothic Medium" w:hAnsi="Franklin Gothic Medium"/>
          <w:color w:val="007934"/>
          <w:sz w:val="28"/>
          <w:szCs w:val="28"/>
        </w:rPr>
        <w:t xml:space="preserve">s </w:t>
      </w:r>
      <w:r w:rsidR="006927BD" w:rsidRPr="00023753">
        <w:rPr>
          <w:rFonts w:ascii="Franklin Gothic Medium" w:hAnsi="Franklin Gothic Medium"/>
          <w:color w:val="007934"/>
          <w:sz w:val="28"/>
          <w:szCs w:val="28"/>
        </w:rPr>
        <w:t xml:space="preserve">for </w:t>
      </w:r>
      <w:r w:rsidR="00606194" w:rsidRPr="00023753">
        <w:rPr>
          <w:rFonts w:ascii="Franklin Gothic Medium" w:hAnsi="Franklin Gothic Medium"/>
          <w:color w:val="007934"/>
          <w:sz w:val="28"/>
          <w:szCs w:val="28"/>
        </w:rPr>
        <w:t xml:space="preserve">Federal </w:t>
      </w:r>
      <w:r w:rsidR="00640C86" w:rsidRPr="00023753">
        <w:rPr>
          <w:rFonts w:ascii="Franklin Gothic Medium" w:hAnsi="Franklin Gothic Medium"/>
          <w:color w:val="007934"/>
          <w:sz w:val="28"/>
          <w:szCs w:val="28"/>
        </w:rPr>
        <w:t>S</w:t>
      </w:r>
      <w:r w:rsidR="006927BD" w:rsidRPr="00023753">
        <w:rPr>
          <w:rFonts w:ascii="Franklin Gothic Medium" w:hAnsi="Franklin Gothic Medium"/>
          <w:color w:val="007934"/>
          <w:sz w:val="28"/>
          <w:szCs w:val="28"/>
        </w:rPr>
        <w:t xml:space="preserve">ite </w:t>
      </w:r>
      <w:r w:rsidR="00640C86" w:rsidRPr="00023753">
        <w:rPr>
          <w:rFonts w:ascii="Franklin Gothic Medium" w:hAnsi="Franklin Gothic Medium"/>
          <w:color w:val="007934"/>
          <w:sz w:val="28"/>
          <w:szCs w:val="28"/>
        </w:rPr>
        <w:t>M</w:t>
      </w:r>
      <w:r w:rsidR="006927BD" w:rsidRPr="00023753">
        <w:rPr>
          <w:rFonts w:ascii="Franklin Gothic Medium" w:hAnsi="Franklin Gothic Medium"/>
          <w:color w:val="007934"/>
          <w:sz w:val="28"/>
          <w:szCs w:val="28"/>
        </w:rPr>
        <w:t>anagers</w:t>
      </w:r>
      <w:r w:rsidR="00640C86" w:rsidRPr="00023753">
        <w:rPr>
          <w:rFonts w:ascii="Franklin Gothic Medium" w:hAnsi="Franklin Gothic Medium"/>
          <w:color w:val="007934"/>
          <w:sz w:val="28"/>
          <w:szCs w:val="28"/>
        </w:rPr>
        <w:t xml:space="preserve"> </w:t>
      </w:r>
      <w:r w:rsidR="00A8554C">
        <w:rPr>
          <w:rFonts w:ascii="Franklin Gothic Medium" w:hAnsi="Franklin Gothic Medium"/>
          <w:color w:val="007934"/>
          <w:sz w:val="28"/>
          <w:szCs w:val="28"/>
        </w:rPr>
        <w:t>and</w:t>
      </w:r>
      <w:r w:rsidR="006927BD" w:rsidRPr="00023753">
        <w:rPr>
          <w:rFonts w:ascii="Franklin Gothic Medium" w:hAnsi="Franklin Gothic Medium"/>
          <w:color w:val="007934"/>
          <w:sz w:val="28"/>
          <w:szCs w:val="28"/>
        </w:rPr>
        <w:t xml:space="preserve"> </w:t>
      </w:r>
      <w:r w:rsidR="00640C86" w:rsidRPr="00023753">
        <w:rPr>
          <w:rFonts w:ascii="Franklin Gothic Medium" w:hAnsi="Franklin Gothic Medium"/>
          <w:color w:val="007934"/>
          <w:sz w:val="28"/>
          <w:szCs w:val="28"/>
        </w:rPr>
        <w:t>Q</w:t>
      </w:r>
      <w:r w:rsidR="006927BD" w:rsidRPr="00023753">
        <w:rPr>
          <w:rFonts w:ascii="Franklin Gothic Medium" w:hAnsi="Franklin Gothic Medium"/>
          <w:color w:val="007934"/>
          <w:sz w:val="28"/>
          <w:szCs w:val="28"/>
        </w:rPr>
        <w:t xml:space="preserve">uestions to </w:t>
      </w:r>
      <w:r w:rsidR="00595153" w:rsidRPr="00023753">
        <w:rPr>
          <w:rFonts w:ascii="Franklin Gothic Medium" w:hAnsi="Franklin Gothic Medium"/>
          <w:color w:val="007934"/>
          <w:sz w:val="28"/>
          <w:szCs w:val="28"/>
        </w:rPr>
        <w:t>A</w:t>
      </w:r>
      <w:r w:rsidR="006927BD" w:rsidRPr="00023753">
        <w:rPr>
          <w:rFonts w:ascii="Franklin Gothic Medium" w:hAnsi="Franklin Gothic Medium"/>
          <w:color w:val="007934"/>
          <w:sz w:val="28"/>
          <w:szCs w:val="28"/>
        </w:rPr>
        <w:t>sk</w:t>
      </w:r>
      <w:r w:rsidR="00E0213D" w:rsidRPr="00023753">
        <w:rPr>
          <w:rFonts w:ascii="Franklin Gothic Medium" w:hAnsi="Franklin Gothic Medium"/>
          <w:color w:val="007934"/>
          <w:sz w:val="28"/>
          <w:szCs w:val="28"/>
        </w:rPr>
        <w:t xml:space="preserve"> </w:t>
      </w:r>
      <w:r w:rsidR="00595153" w:rsidRPr="00023753">
        <w:rPr>
          <w:rFonts w:ascii="Franklin Gothic Medium" w:hAnsi="Franklin Gothic Medium"/>
          <w:color w:val="007934"/>
          <w:sz w:val="28"/>
          <w:szCs w:val="28"/>
        </w:rPr>
        <w:t>T</w:t>
      </w:r>
      <w:r w:rsidR="00E0213D" w:rsidRPr="00023753">
        <w:rPr>
          <w:rFonts w:ascii="Franklin Gothic Medium" w:hAnsi="Franklin Gothic Medium"/>
          <w:color w:val="007934"/>
          <w:sz w:val="28"/>
          <w:szCs w:val="28"/>
        </w:rPr>
        <w:t>heir</w:t>
      </w:r>
      <w:r w:rsidR="006927BD" w:rsidRPr="00023753">
        <w:rPr>
          <w:rFonts w:ascii="Franklin Gothic Medium" w:hAnsi="Franklin Gothic Medium"/>
          <w:color w:val="007934"/>
          <w:sz w:val="28"/>
          <w:szCs w:val="28"/>
        </w:rPr>
        <w:t xml:space="preserve"> </w:t>
      </w:r>
      <w:r w:rsidR="00640C86" w:rsidRPr="00023753">
        <w:rPr>
          <w:rFonts w:ascii="Franklin Gothic Medium" w:hAnsi="Franklin Gothic Medium"/>
          <w:color w:val="007934"/>
          <w:sz w:val="28"/>
          <w:szCs w:val="28"/>
        </w:rPr>
        <w:t>U</w:t>
      </w:r>
      <w:r w:rsidR="006927BD" w:rsidRPr="00023753">
        <w:rPr>
          <w:rFonts w:ascii="Franklin Gothic Medium" w:hAnsi="Franklin Gothic Medium"/>
          <w:color w:val="007934"/>
          <w:sz w:val="28"/>
          <w:szCs w:val="28"/>
        </w:rPr>
        <w:t>tility</w:t>
      </w:r>
      <w:r w:rsidR="00606194" w:rsidRPr="00023753">
        <w:rPr>
          <w:rFonts w:ascii="Franklin Gothic Medium" w:hAnsi="Franklin Gothic Medium"/>
          <w:color w:val="007934"/>
          <w:sz w:val="28"/>
          <w:szCs w:val="28"/>
        </w:rPr>
        <w:t xml:space="preserve"> </w:t>
      </w:r>
    </w:p>
    <w:p w14:paraId="22C0C9B0" w14:textId="2BBCE960" w:rsidR="00A24662" w:rsidRDefault="005D4D8F" w:rsidP="00023753">
      <w:pPr>
        <w:pStyle w:val="EEREBodyText"/>
      </w:pPr>
      <w:bookmarkStart w:id="0" w:name="_Hlk81484790"/>
      <w:r>
        <w:t>This interconnection checklist provides federal agencies with a series of tasks and questions to ask their utility, broken out by each interconnection process step. These checklist items are applicable to most types and sizes of</w:t>
      </w:r>
      <w:r w:rsidR="00CE7FF4">
        <w:t xml:space="preserve"> distributed energy (DE)</w:t>
      </w:r>
      <w:r>
        <w:t xml:space="preserve"> </w:t>
      </w:r>
      <w:r w:rsidR="008E2DAC">
        <w:t xml:space="preserve">projects </w:t>
      </w:r>
      <w:r w:rsidR="0050691C">
        <w:t>(regardless of implementation method</w:t>
      </w:r>
      <w:r w:rsidR="00FB660E">
        <w:t>),</w:t>
      </w:r>
      <w:r w:rsidR="0050691C">
        <w:t xml:space="preserve"> </w:t>
      </w:r>
      <w:r w:rsidR="008E2DAC">
        <w:t>but</w:t>
      </w:r>
      <w:r>
        <w:t xml:space="preserve"> </w:t>
      </w:r>
      <w:r w:rsidR="00975EDB">
        <w:t>this is not a comprehensive list</w:t>
      </w:r>
      <w:r w:rsidR="00026DCB">
        <w:t>—</w:t>
      </w:r>
      <w:r w:rsidR="0050691C">
        <w:t>additional tasks may be required</w:t>
      </w:r>
      <w:r w:rsidR="001D387E">
        <w:t xml:space="preserve"> for a complicated project.</w:t>
      </w:r>
      <w:r>
        <w:t xml:space="preserve"> </w:t>
      </w:r>
      <w:bookmarkEnd w:id="0"/>
      <w:r w:rsidR="001D387E">
        <w:t>S</w:t>
      </w:r>
      <w:r w:rsidR="008E2DAC">
        <w:t>ome</w:t>
      </w:r>
      <w:r>
        <w:t xml:space="preserve"> utilities may require additional </w:t>
      </w:r>
      <w:r w:rsidR="008E2DAC">
        <w:t xml:space="preserve">steps to complete their interconnection review. Consult </w:t>
      </w:r>
      <w:r w:rsidR="00CE7FF4">
        <w:t>your</w:t>
      </w:r>
      <w:r w:rsidR="008E2DAC">
        <w:t xml:space="preserve"> utility early and often</w:t>
      </w:r>
      <w:r w:rsidR="00F409E3">
        <w:t xml:space="preserve"> and determine the responsible party for each task</w:t>
      </w:r>
      <w:r w:rsidR="008E2DAC">
        <w:t xml:space="preserve"> </w:t>
      </w:r>
      <w:r w:rsidR="00F409E3">
        <w:t xml:space="preserve">to ensure that all DE interconnection </w:t>
      </w:r>
      <w:r w:rsidR="008E2DAC">
        <w:t>review steps are met</w:t>
      </w:r>
      <w:r w:rsidR="00CE7FF4">
        <w:t>.</w:t>
      </w:r>
      <w:r w:rsidR="00721010">
        <w:t xml:space="preserve"> Many of the items below are often the responsibility of the contractor implementing the DE project. </w:t>
      </w:r>
    </w:p>
    <w:p w14:paraId="3DA54156" w14:textId="77777777" w:rsidR="00023753" w:rsidRDefault="00023753" w:rsidP="00023753">
      <w:pPr>
        <w:pStyle w:val="EEREBodyText"/>
      </w:pPr>
    </w:p>
    <w:p w14:paraId="38B30AA6" w14:textId="5B3EF4C7" w:rsidR="00536BB0" w:rsidRPr="00A8554C" w:rsidRDefault="00536BB0" w:rsidP="00595153">
      <w:pPr>
        <w:pStyle w:val="Heading1"/>
        <w:pBdr>
          <w:top w:val="single" w:sz="18" w:space="1" w:color="C3C8C8"/>
        </w:pBdr>
        <w:spacing w:before="0" w:after="120"/>
        <w:rPr>
          <w:rFonts w:ascii="Franklin Gothic Medium" w:hAnsi="Franklin Gothic Medium"/>
          <w:b w:val="0"/>
          <w:bCs/>
          <w:color w:val="5E6A71"/>
        </w:rPr>
      </w:pPr>
      <w:r w:rsidRPr="00A8554C">
        <w:rPr>
          <w:rFonts w:ascii="Franklin Gothic Medium" w:hAnsi="Franklin Gothic Medium"/>
          <w:b w:val="0"/>
          <w:bCs/>
          <w:color w:val="5E6A71"/>
        </w:rPr>
        <w:t xml:space="preserve">Project </w:t>
      </w:r>
      <w:r w:rsidR="00CC1120" w:rsidRPr="00A8554C">
        <w:rPr>
          <w:rFonts w:ascii="Franklin Gothic Medium" w:hAnsi="Franklin Gothic Medium"/>
          <w:b w:val="0"/>
          <w:bCs/>
          <w:color w:val="5E6A71"/>
        </w:rPr>
        <w:t xml:space="preserve">Planning, </w:t>
      </w:r>
      <w:r w:rsidRPr="00A8554C">
        <w:rPr>
          <w:rFonts w:ascii="Franklin Gothic Medium" w:hAnsi="Franklin Gothic Medium"/>
          <w:b w:val="0"/>
          <w:bCs/>
          <w:color w:val="5E6A71"/>
        </w:rPr>
        <w:t>Design</w:t>
      </w:r>
      <w:r w:rsidR="00A8554C" w:rsidRPr="00A8554C">
        <w:rPr>
          <w:rFonts w:ascii="Franklin Gothic Medium" w:hAnsi="Franklin Gothic Medium"/>
          <w:b w:val="0"/>
          <w:bCs/>
          <w:color w:val="5E6A71"/>
        </w:rPr>
        <w:t>,</w:t>
      </w:r>
      <w:r w:rsidR="008A0513" w:rsidRPr="00A8554C">
        <w:rPr>
          <w:rFonts w:ascii="Franklin Gothic Medium" w:hAnsi="Franklin Gothic Medium"/>
          <w:b w:val="0"/>
          <w:bCs/>
          <w:color w:val="5E6A71"/>
        </w:rPr>
        <w:t xml:space="preserve"> </w:t>
      </w:r>
      <w:r w:rsidR="00A8554C" w:rsidRPr="00A8554C">
        <w:rPr>
          <w:rFonts w:ascii="Franklin Gothic Medium" w:hAnsi="Franklin Gothic Medium"/>
          <w:b w:val="0"/>
          <w:bCs/>
          <w:color w:val="5E6A71"/>
        </w:rPr>
        <w:t>and</w:t>
      </w:r>
      <w:r w:rsidR="008A0513" w:rsidRPr="00A8554C">
        <w:rPr>
          <w:rFonts w:ascii="Franklin Gothic Medium" w:hAnsi="Franklin Gothic Medium"/>
          <w:b w:val="0"/>
          <w:bCs/>
          <w:color w:val="5E6A71"/>
        </w:rPr>
        <w:t xml:space="preserve"> Engineering</w:t>
      </w:r>
    </w:p>
    <w:p w14:paraId="0DA087AF" w14:textId="51B77F69" w:rsidR="00F41148" w:rsidRPr="007C1CD8" w:rsidRDefault="002B5EF5" w:rsidP="00A62E7F">
      <w:pPr>
        <w:pStyle w:val="Style1"/>
        <w:spacing w:before="0" w:after="120"/>
      </w:pPr>
      <w:sdt>
        <w:sdtPr>
          <w:id w:val="1116878899"/>
          <w15:appearance w15:val="hidden"/>
          <w14:checkbox>
            <w14:checked w14:val="0"/>
            <w14:checkedState w14:val="2612" w14:font="MS Gothic"/>
            <w14:uncheckedState w14:val="2610" w14:font="MS Gothic"/>
          </w14:checkbox>
        </w:sdtPr>
        <w:sdtEndPr/>
        <w:sdtContent>
          <w:r w:rsidR="00E41100">
            <w:rPr>
              <w:rFonts w:ascii="MS Gothic" w:eastAsia="MS Gothic" w:hAnsi="MS Gothic" w:hint="eastAsia"/>
            </w:rPr>
            <w:t>☐</w:t>
          </w:r>
        </w:sdtContent>
      </w:sdt>
      <w:r w:rsidR="00C4574E" w:rsidRPr="00E41100">
        <w:rPr>
          <w:rFonts w:ascii="Franklin Gothic Book" w:hAnsi="Franklin Gothic Book"/>
        </w:rPr>
        <w:t xml:space="preserve"> Discuss </w:t>
      </w:r>
      <w:r w:rsidR="004D5D24" w:rsidRPr="00E41100">
        <w:rPr>
          <w:rFonts w:ascii="Franklin Gothic Book" w:hAnsi="Franklin Gothic Book"/>
        </w:rPr>
        <w:t xml:space="preserve">DE </w:t>
      </w:r>
      <w:r w:rsidR="00C4574E" w:rsidRPr="00E41100">
        <w:rPr>
          <w:rFonts w:ascii="Franklin Gothic Book" w:hAnsi="Franklin Gothic Book"/>
        </w:rPr>
        <w:t>project with utility</w:t>
      </w:r>
      <w:r w:rsidR="00A41CA7" w:rsidRPr="00E41100">
        <w:rPr>
          <w:rFonts w:ascii="Franklin Gothic Book" w:hAnsi="Franklin Gothic Book"/>
        </w:rPr>
        <w:t xml:space="preserve"> early in </w:t>
      </w:r>
      <w:r w:rsidR="00CE7FF4" w:rsidRPr="00E41100">
        <w:rPr>
          <w:rFonts w:ascii="Franklin Gothic Book" w:hAnsi="Franklin Gothic Book"/>
        </w:rPr>
        <w:t xml:space="preserve">the </w:t>
      </w:r>
      <w:r w:rsidR="00A41CA7" w:rsidRPr="00E41100">
        <w:rPr>
          <w:rFonts w:ascii="Franklin Gothic Book" w:hAnsi="Franklin Gothic Book"/>
        </w:rPr>
        <w:t>site selection and project development process</w:t>
      </w:r>
      <w:r w:rsidR="00C10A9A" w:rsidRPr="00E41100">
        <w:rPr>
          <w:rFonts w:ascii="Franklin Gothic Book" w:hAnsi="Franklin Gothic Book"/>
        </w:rPr>
        <w:t>.</w:t>
      </w:r>
    </w:p>
    <w:p w14:paraId="6FBC0336" w14:textId="797C8811" w:rsidR="00953992" w:rsidRDefault="00721010" w:rsidP="00E41100">
      <w:pPr>
        <w:pStyle w:val="EEREBodyText"/>
      </w:pPr>
      <w:r>
        <w:t>As a starting point, many utilities have interconnection requirements listed on their website.</w:t>
      </w:r>
      <w:r w:rsidR="00A46EBC">
        <w:t xml:space="preserve"> If the site has a prior DE project</w:t>
      </w:r>
      <w:r>
        <w:t xml:space="preserve"> </w:t>
      </w:r>
      <w:r w:rsidR="00A46EBC">
        <w:t xml:space="preserve">in place, reviewing any existing interconnection agreements might help early in the discussions with the utility as well. </w:t>
      </w:r>
      <w:r w:rsidR="00466121" w:rsidRPr="00DC58F0">
        <w:t xml:space="preserve">Discussing </w:t>
      </w:r>
      <w:r w:rsidR="00A24662">
        <w:t>the</w:t>
      </w:r>
      <w:r w:rsidR="00A24662" w:rsidRPr="00DC58F0">
        <w:t xml:space="preserve"> </w:t>
      </w:r>
      <w:r w:rsidR="00466121" w:rsidRPr="00DC58F0">
        <w:t>project early</w:t>
      </w:r>
      <w:r w:rsidR="00CE7FF4">
        <w:t xml:space="preserve"> </w:t>
      </w:r>
      <w:r w:rsidR="00466121" w:rsidRPr="00DC58F0">
        <w:t>in the development process is an effective way to better understand the interconnection process</w:t>
      </w:r>
      <w:r w:rsidR="00953992">
        <w:t xml:space="preserve">, </w:t>
      </w:r>
      <w:r w:rsidR="00BE25AC">
        <w:t>timeline</w:t>
      </w:r>
      <w:r w:rsidR="003A1C10">
        <w:t>,</w:t>
      </w:r>
      <w:r w:rsidR="00BE25AC">
        <w:t xml:space="preserve"> </w:t>
      </w:r>
      <w:r w:rsidR="00953992">
        <w:t>potential costs</w:t>
      </w:r>
      <w:r w:rsidR="0050691C">
        <w:t>,</w:t>
      </w:r>
      <w:r w:rsidR="00BE25AC">
        <w:t xml:space="preserve"> and risks such as high cost</w:t>
      </w:r>
      <w:r w:rsidR="00CE7FF4">
        <w:t>s</w:t>
      </w:r>
      <w:r w:rsidR="00BE25AC">
        <w:t xml:space="preserve"> and long timeline</w:t>
      </w:r>
      <w:r w:rsidR="00CE7FF4">
        <w:t>s</w:t>
      </w:r>
      <w:r w:rsidR="00466121" w:rsidRPr="00DC58F0">
        <w:t xml:space="preserve">. </w:t>
      </w:r>
      <w:r w:rsidR="0050691C">
        <w:t xml:space="preserve">Early communication </w:t>
      </w:r>
      <w:r w:rsidR="00466121" w:rsidRPr="00DC58F0">
        <w:t xml:space="preserve">will also make </w:t>
      </w:r>
      <w:r w:rsidR="00A24662">
        <w:t>the</w:t>
      </w:r>
      <w:r w:rsidR="00A24662" w:rsidRPr="00DC58F0">
        <w:t xml:space="preserve"> </w:t>
      </w:r>
      <w:r w:rsidR="00466121" w:rsidRPr="00DC58F0">
        <w:t xml:space="preserve">utility aware of the project, so that they </w:t>
      </w:r>
      <w:r w:rsidR="00DC58F0" w:rsidRPr="00DC58F0">
        <w:t xml:space="preserve">can keep you informed of their </w:t>
      </w:r>
      <w:r w:rsidR="00EA5D66">
        <w:t>interconnection study</w:t>
      </w:r>
      <w:r w:rsidR="00DC58F0" w:rsidRPr="00DC58F0">
        <w:t xml:space="preserve"> timelines and </w:t>
      </w:r>
      <w:r w:rsidR="00EA5D66">
        <w:t xml:space="preserve">any </w:t>
      </w:r>
      <w:r w:rsidR="00DC58F0" w:rsidRPr="00DC58F0">
        <w:t xml:space="preserve">changes to their </w:t>
      </w:r>
      <w:r w:rsidR="00EA5D66">
        <w:t xml:space="preserve">interconnection requirements and </w:t>
      </w:r>
      <w:r w:rsidR="00DC58F0" w:rsidRPr="00DC58F0">
        <w:t>procedures</w:t>
      </w:r>
      <w:r w:rsidR="003A1C10">
        <w:t>.</w:t>
      </w:r>
      <w:r w:rsidR="00B14BDF">
        <w:t xml:space="preserve"> However, before the contractor is selected, discussions should be general in nature without divulging specific project details</w:t>
      </w:r>
      <w:r w:rsidR="00CE7FF4">
        <w:t>, to ensure fair and open competition</w:t>
      </w:r>
      <w:r w:rsidR="00B14BDF">
        <w:t>. More detailed discussions can take place after contractor selection.</w:t>
      </w:r>
    </w:p>
    <w:p w14:paraId="397CFFB1" w14:textId="77777777" w:rsidR="00957A5C" w:rsidRPr="00DC58F0" w:rsidRDefault="00957A5C" w:rsidP="00E41100">
      <w:pPr>
        <w:pStyle w:val="EEREBodyText"/>
      </w:pPr>
    </w:p>
    <w:p w14:paraId="52F49030" w14:textId="3808478A" w:rsidR="00E35498" w:rsidRPr="00E41100" w:rsidRDefault="002B5EF5" w:rsidP="00A62E7F">
      <w:pPr>
        <w:pStyle w:val="Style1"/>
        <w:spacing w:before="0" w:after="120"/>
        <w:rPr>
          <w:rFonts w:ascii="Franklin Gothic Book" w:hAnsi="Franklin Gothic Book"/>
        </w:rPr>
      </w:pPr>
      <w:sdt>
        <w:sdtPr>
          <w:rPr>
            <w:rFonts w:ascii="Franklin Gothic Book" w:hAnsi="Franklin Gothic Book"/>
          </w:rPr>
          <w:id w:val="1309825296"/>
          <w15:appearance w15:val="hidden"/>
          <w14:checkbox>
            <w14:checked w14:val="0"/>
            <w14:checkedState w14:val="2612" w14:font="MS Gothic"/>
            <w14:uncheckedState w14:val="2610" w14:font="MS Gothic"/>
          </w14:checkbox>
        </w:sdtPr>
        <w:sdtEndPr/>
        <w:sdtContent>
          <w:r w:rsidR="00827FF8" w:rsidRPr="00E41100">
            <w:rPr>
              <w:rFonts w:ascii="Segoe UI Symbol" w:eastAsia="MS Gothic" w:hAnsi="Segoe UI Symbol" w:cs="Segoe UI Symbol"/>
            </w:rPr>
            <w:t>☐</w:t>
          </w:r>
        </w:sdtContent>
      </w:sdt>
      <w:r w:rsidR="00E35498" w:rsidRPr="00E41100">
        <w:rPr>
          <w:rFonts w:ascii="Franklin Gothic Book" w:hAnsi="Franklin Gothic Book"/>
        </w:rPr>
        <w:t xml:space="preserve"> </w:t>
      </w:r>
      <w:r w:rsidR="00C10A9A" w:rsidRPr="00E41100">
        <w:rPr>
          <w:rFonts w:ascii="Franklin Gothic Book" w:hAnsi="Franklin Gothic Book"/>
        </w:rPr>
        <w:t>Involve</w:t>
      </w:r>
      <w:r w:rsidR="00E35498" w:rsidRPr="00E41100">
        <w:rPr>
          <w:rFonts w:ascii="Franklin Gothic Book" w:hAnsi="Franklin Gothic Book"/>
        </w:rPr>
        <w:t xml:space="preserve"> agency legal </w:t>
      </w:r>
      <w:r w:rsidR="00A41CA7" w:rsidRPr="00E41100">
        <w:rPr>
          <w:rFonts w:ascii="Franklin Gothic Book" w:hAnsi="Franklin Gothic Book"/>
        </w:rPr>
        <w:t>counsel</w:t>
      </w:r>
      <w:r w:rsidR="0050691C" w:rsidRPr="00E41100">
        <w:rPr>
          <w:rFonts w:ascii="Franklin Gothic Book" w:hAnsi="Franklin Gothic Book"/>
        </w:rPr>
        <w:t>/contracting</w:t>
      </w:r>
      <w:r w:rsidR="00A41CA7" w:rsidRPr="00E41100">
        <w:rPr>
          <w:rFonts w:ascii="Franklin Gothic Book" w:hAnsi="Franklin Gothic Book"/>
        </w:rPr>
        <w:t xml:space="preserve"> </w:t>
      </w:r>
      <w:r w:rsidR="00C10A9A" w:rsidRPr="00E41100">
        <w:rPr>
          <w:rFonts w:ascii="Franklin Gothic Book" w:hAnsi="Franklin Gothic Book"/>
        </w:rPr>
        <w:t xml:space="preserve">early in the </w:t>
      </w:r>
      <w:r w:rsidR="00E35498" w:rsidRPr="00E41100">
        <w:rPr>
          <w:rFonts w:ascii="Franklin Gothic Book" w:hAnsi="Franklin Gothic Book"/>
        </w:rPr>
        <w:t>project</w:t>
      </w:r>
      <w:r w:rsidR="00C10A9A" w:rsidRPr="00E41100">
        <w:rPr>
          <w:rFonts w:ascii="Franklin Gothic Book" w:hAnsi="Franklin Gothic Book"/>
        </w:rPr>
        <w:t>.</w:t>
      </w:r>
    </w:p>
    <w:p w14:paraId="5C734262" w14:textId="7407066B" w:rsidR="006E3FF1" w:rsidRDefault="00DC58F0" w:rsidP="00E41100">
      <w:pPr>
        <w:pStyle w:val="EEREBodyText"/>
      </w:pPr>
      <w:r w:rsidRPr="00DC58F0">
        <w:t xml:space="preserve">Discussing </w:t>
      </w:r>
      <w:r w:rsidR="00A24662">
        <w:t>the</w:t>
      </w:r>
      <w:r w:rsidR="00A24662" w:rsidRPr="00DC58F0">
        <w:t xml:space="preserve"> </w:t>
      </w:r>
      <w:r w:rsidRPr="00DC58F0">
        <w:t xml:space="preserve">project </w:t>
      </w:r>
      <w:r w:rsidR="00CE7FF4" w:rsidRPr="00DC58F0">
        <w:t>with agency legal</w:t>
      </w:r>
      <w:r w:rsidR="0050691C">
        <w:t>/contracting staff</w:t>
      </w:r>
      <w:r w:rsidR="00CE7FF4" w:rsidRPr="00DC58F0">
        <w:t xml:space="preserve"> </w:t>
      </w:r>
      <w:r w:rsidRPr="00DC58F0">
        <w:t xml:space="preserve">early in </w:t>
      </w:r>
      <w:r w:rsidR="00CE7FF4">
        <w:t xml:space="preserve">the development process </w:t>
      </w:r>
      <w:r w:rsidRPr="00DC58F0">
        <w:t xml:space="preserve">can help to </w:t>
      </w:r>
      <w:r w:rsidR="00882A96" w:rsidRPr="00882A96">
        <w:t xml:space="preserve">identify potential agency </w:t>
      </w:r>
      <w:r w:rsidR="00882A96" w:rsidRPr="003E33BB">
        <w:t>contracting challenges</w:t>
      </w:r>
      <w:r w:rsidR="00282C6B" w:rsidRPr="003E33BB">
        <w:t xml:space="preserve"> (e.g., indemnification clauses,</w:t>
      </w:r>
      <w:r w:rsidR="000467A5" w:rsidRPr="003E33BB">
        <w:t xml:space="preserve"> see </w:t>
      </w:r>
      <w:r w:rsidR="00960C51" w:rsidRPr="00960C51">
        <w:rPr>
          <w:rFonts w:asciiTheme="minorHAnsi" w:hAnsiTheme="minorHAnsi" w:cstheme="minorHAnsi"/>
        </w:rPr>
        <w:fldChar w:fldCharType="begin"/>
      </w:r>
      <w:r w:rsidR="00960C51" w:rsidRPr="00960C51">
        <w:rPr>
          <w:rFonts w:asciiTheme="minorHAnsi" w:hAnsiTheme="minorHAnsi" w:cstheme="minorHAnsi"/>
        </w:rPr>
        <w:instrText xml:space="preserve"> REF _Ref81488751 \h </w:instrText>
      </w:r>
      <w:r w:rsidR="00960C51" w:rsidRPr="00960C51">
        <w:rPr>
          <w:rFonts w:asciiTheme="minorHAnsi" w:hAnsiTheme="minorHAnsi" w:cstheme="minorHAnsi"/>
        </w:rPr>
      </w:r>
      <w:r w:rsidR="00960C51">
        <w:rPr>
          <w:rFonts w:asciiTheme="minorHAnsi" w:hAnsiTheme="minorHAnsi" w:cstheme="minorHAnsi"/>
        </w:rPr>
        <w:instrText xml:space="preserve"> \* MERGEFORMAT </w:instrText>
      </w:r>
      <w:r w:rsidR="00960C51" w:rsidRPr="00960C51">
        <w:rPr>
          <w:rFonts w:asciiTheme="minorHAnsi" w:hAnsiTheme="minorHAnsi" w:cstheme="minorHAnsi"/>
        </w:rPr>
        <w:fldChar w:fldCharType="separate"/>
      </w:r>
      <w:r w:rsidR="00960C51" w:rsidRPr="00960C51">
        <w:rPr>
          <w:rFonts w:asciiTheme="minorHAnsi" w:hAnsiTheme="minorHAnsi" w:cstheme="minorHAnsi"/>
          <w:bCs/>
          <w:color w:val="5E6A71"/>
        </w:rPr>
        <w:t>Interconnection Agreement (ICA)</w:t>
      </w:r>
      <w:r w:rsidR="00960C51" w:rsidRPr="00960C51">
        <w:rPr>
          <w:rFonts w:asciiTheme="minorHAnsi" w:hAnsiTheme="minorHAnsi" w:cstheme="minorHAnsi"/>
        </w:rPr>
        <w:fldChar w:fldCharType="end"/>
      </w:r>
      <w:r w:rsidR="000467A5" w:rsidRPr="00960C51">
        <w:rPr>
          <w:rFonts w:asciiTheme="minorHAnsi" w:hAnsiTheme="minorHAnsi" w:cstheme="minorHAnsi"/>
        </w:rPr>
        <w:t xml:space="preserve"> sectio</w:t>
      </w:r>
      <w:r w:rsidR="000467A5" w:rsidRPr="003E33BB">
        <w:t>n be</w:t>
      </w:r>
      <w:r w:rsidR="000467A5">
        <w:t>low for more information</w:t>
      </w:r>
      <w:r w:rsidR="00860052">
        <w:t>)</w:t>
      </w:r>
      <w:r w:rsidRPr="00DC58F0">
        <w:t>. It will also save time in the project schedule by keeping agency legal</w:t>
      </w:r>
      <w:r w:rsidR="004049FB">
        <w:t xml:space="preserve"> staff</w:t>
      </w:r>
      <w:r w:rsidRPr="00DC58F0">
        <w:t xml:space="preserve"> in the loop, so that they are informed about the project when they are called to review the interconnection agreement. </w:t>
      </w:r>
      <w:r w:rsidR="00CE7FF4">
        <w:t xml:space="preserve">In certain cases, the utility may have an interconnection agreement template that agency legal </w:t>
      </w:r>
      <w:r w:rsidR="004049FB">
        <w:t xml:space="preserve">staff </w:t>
      </w:r>
      <w:r w:rsidR="00CE7FF4">
        <w:t xml:space="preserve">can review early on. </w:t>
      </w:r>
      <w:r w:rsidR="00D85FCA">
        <w:t xml:space="preserve">It may </w:t>
      </w:r>
      <w:r w:rsidR="003A1C10">
        <w:t xml:space="preserve">also </w:t>
      </w:r>
      <w:r w:rsidR="00D85FCA">
        <w:t>be necessary to bring in the real estate office if there are any property easements near the proposed DE site and/or other required infrastructure.</w:t>
      </w:r>
    </w:p>
    <w:p w14:paraId="12915CAD" w14:textId="6D9D201A" w:rsidR="00E41100" w:rsidRDefault="00E41100" w:rsidP="00E41100">
      <w:pPr>
        <w:pStyle w:val="EEREBodyText"/>
      </w:pPr>
    </w:p>
    <w:p w14:paraId="3FE57BAF" w14:textId="77777777" w:rsidR="00E41100" w:rsidRDefault="00E41100" w:rsidP="00E41100">
      <w:pPr>
        <w:pStyle w:val="EEREBodyText"/>
      </w:pPr>
    </w:p>
    <w:p w14:paraId="7237E735" w14:textId="05949F3A" w:rsidR="00B64957" w:rsidRPr="007C1CD8" w:rsidRDefault="002B5EF5" w:rsidP="00B64957">
      <w:pPr>
        <w:pStyle w:val="Style1"/>
        <w:spacing w:before="0" w:after="120"/>
      </w:pPr>
      <w:sdt>
        <w:sdtPr>
          <w:rPr>
            <w:rFonts w:ascii="Franklin Gothic Book" w:hAnsi="Franklin Gothic Book"/>
          </w:rPr>
          <w:id w:val="-455879483"/>
          <w15:appearance w15:val="hidden"/>
          <w14:checkbox>
            <w14:checked w14:val="0"/>
            <w14:checkedState w14:val="2612" w14:font="MS Gothic"/>
            <w14:uncheckedState w14:val="2610" w14:font="MS Gothic"/>
          </w14:checkbox>
        </w:sdtPr>
        <w:sdtEndPr/>
        <w:sdtContent>
          <w:r w:rsidR="00B64957" w:rsidRPr="00E41100">
            <w:rPr>
              <w:rFonts w:ascii="Segoe UI Symbol" w:eastAsia="MS Gothic" w:hAnsi="Segoe UI Symbol" w:cs="Segoe UI Symbol"/>
            </w:rPr>
            <w:t>☐</w:t>
          </w:r>
        </w:sdtContent>
      </w:sdt>
      <w:r w:rsidR="00B64957" w:rsidRPr="00E41100">
        <w:rPr>
          <w:rFonts w:ascii="Franklin Gothic Book" w:hAnsi="Franklin Gothic Book"/>
        </w:rPr>
        <w:t xml:space="preserve"> Determine whether the DE project will be interconnected behind the meter or in front of the meter.</w:t>
      </w:r>
    </w:p>
    <w:p w14:paraId="65ADE213" w14:textId="0B6A0B89" w:rsidR="00B64957" w:rsidRDefault="00B64957" w:rsidP="00E41100">
      <w:pPr>
        <w:pStyle w:val="EEREBodyText"/>
      </w:pPr>
      <w:r w:rsidRPr="00CF5CE9">
        <w:t xml:space="preserve">A behind the meter configuration is much more common, where the DE project will offset onsite consumption with minimal or </w:t>
      </w:r>
      <w:r w:rsidR="004049FB">
        <w:t>zero</w:t>
      </w:r>
      <w:r w:rsidRPr="00CF5CE9">
        <w:t xml:space="preserve"> exported electricity. Front of the meter projects typically export </w:t>
      </w:r>
      <w:r w:rsidR="00FB660E" w:rsidRPr="00CF5CE9">
        <w:t>all</w:t>
      </w:r>
      <w:r w:rsidRPr="00CF5CE9">
        <w:t xml:space="preserve"> their generation back to the utility and are often subject to much more stringent interconnection and operating requirements due to their larger size. If the project is connected in front of the meter but the electricity will be used to off-set demand, the utility may require the electricity to be sold to them at wholesal</w:t>
      </w:r>
      <w:r w:rsidR="004049FB">
        <w:t xml:space="preserve">e, with no offset of the site’s utility cost. </w:t>
      </w:r>
      <w:r w:rsidRPr="00CF5CE9">
        <w:t xml:space="preserve">Projects under 1 MW are rarely installed in front of the meter, as the costs to complete interconnection studies and meet utility interconnection requirements </w:t>
      </w:r>
      <w:r w:rsidR="004049FB">
        <w:t xml:space="preserve">typically </w:t>
      </w:r>
      <w:r w:rsidRPr="00CF5CE9">
        <w:t xml:space="preserve">make them uneconomic. </w:t>
      </w:r>
    </w:p>
    <w:p w14:paraId="7E493F43" w14:textId="77777777" w:rsidR="00957A5C" w:rsidRDefault="00957A5C" w:rsidP="00E41100">
      <w:pPr>
        <w:pStyle w:val="EEREBodyText"/>
      </w:pPr>
    </w:p>
    <w:p w14:paraId="5721A492" w14:textId="314BFC9A" w:rsidR="00DC58F0" w:rsidRPr="007C1CD8" w:rsidRDefault="002B5EF5" w:rsidP="00A62E7F">
      <w:pPr>
        <w:pStyle w:val="Style1"/>
        <w:spacing w:before="0" w:after="120"/>
      </w:pPr>
      <w:sdt>
        <w:sdtPr>
          <w:rPr>
            <w:rFonts w:ascii="Franklin Gothic Book" w:hAnsi="Franklin Gothic Book"/>
          </w:rPr>
          <w:id w:val="-1924789320"/>
          <w15:appearance w15:val="hidden"/>
          <w14:checkbox>
            <w14:checked w14:val="0"/>
            <w14:checkedState w14:val="2612" w14:font="MS Gothic"/>
            <w14:uncheckedState w14:val="2610" w14:font="MS Gothic"/>
          </w14:checkbox>
        </w:sdtPr>
        <w:sdtEndPr/>
        <w:sdtContent>
          <w:r w:rsidR="00B64957" w:rsidRPr="00E41100">
            <w:rPr>
              <w:rFonts w:ascii="Segoe UI Symbol" w:eastAsia="MS Gothic" w:hAnsi="Segoe UI Symbol" w:cs="Segoe UI Symbol"/>
            </w:rPr>
            <w:t>☐</w:t>
          </w:r>
        </w:sdtContent>
      </w:sdt>
      <w:r w:rsidR="00536BB0" w:rsidRPr="00E41100">
        <w:rPr>
          <w:rFonts w:ascii="Franklin Gothic Book" w:hAnsi="Franklin Gothic Book"/>
        </w:rPr>
        <w:t xml:space="preserve"> </w:t>
      </w:r>
      <w:r w:rsidR="008C7414" w:rsidRPr="00E41100">
        <w:rPr>
          <w:rFonts w:ascii="Franklin Gothic Book" w:hAnsi="Franklin Gothic Book"/>
        </w:rPr>
        <w:t>Identify w</w:t>
      </w:r>
      <w:r w:rsidR="00536BB0" w:rsidRPr="00E41100">
        <w:rPr>
          <w:rFonts w:ascii="Franklin Gothic Book" w:hAnsi="Franklin Gothic Book"/>
        </w:rPr>
        <w:t>here the project</w:t>
      </w:r>
      <w:r w:rsidR="008D2C97" w:rsidRPr="00E41100">
        <w:rPr>
          <w:rFonts w:ascii="Franklin Gothic Book" w:hAnsi="Franklin Gothic Book"/>
        </w:rPr>
        <w:t xml:space="preserve"> will</w:t>
      </w:r>
      <w:r w:rsidR="00536BB0" w:rsidRPr="00E41100">
        <w:rPr>
          <w:rFonts w:ascii="Franklin Gothic Book" w:hAnsi="Franklin Gothic Book"/>
        </w:rPr>
        <w:t xml:space="preserve"> interconnect</w:t>
      </w:r>
      <w:r w:rsidR="00B64957" w:rsidRPr="00E41100">
        <w:rPr>
          <w:rFonts w:ascii="Franklin Gothic Book" w:hAnsi="Franklin Gothic Book"/>
        </w:rPr>
        <w:t xml:space="preserve">, the location of the </w:t>
      </w:r>
      <w:r w:rsidR="00A41CA7" w:rsidRPr="00E41100">
        <w:rPr>
          <w:rFonts w:ascii="Franklin Gothic Book" w:hAnsi="Franklin Gothic Book"/>
        </w:rPr>
        <w:t xml:space="preserve">Point of Common Coupling </w:t>
      </w:r>
      <w:r w:rsidR="00AF1843" w:rsidRPr="00E41100">
        <w:rPr>
          <w:rFonts w:ascii="Franklin Gothic Book" w:hAnsi="Franklin Gothic Book"/>
        </w:rPr>
        <w:t>(</w:t>
      </w:r>
      <w:r w:rsidR="00A41CA7" w:rsidRPr="00E41100">
        <w:rPr>
          <w:rFonts w:ascii="Franklin Gothic Book" w:hAnsi="Franklin Gothic Book"/>
        </w:rPr>
        <w:t>POCC</w:t>
      </w:r>
      <w:r w:rsidR="00AF1843" w:rsidRPr="00E41100">
        <w:rPr>
          <w:rFonts w:ascii="Franklin Gothic Book" w:hAnsi="Franklin Gothic Book"/>
        </w:rPr>
        <w:t>)</w:t>
      </w:r>
      <w:r w:rsidR="00A32469" w:rsidRPr="00E41100">
        <w:rPr>
          <w:rFonts w:ascii="Franklin Gothic Book" w:hAnsi="Franklin Gothic Book"/>
        </w:rPr>
        <w:t>,</w:t>
      </w:r>
      <w:r w:rsidR="00A41CA7" w:rsidRPr="00E41100">
        <w:rPr>
          <w:rFonts w:ascii="Franklin Gothic Book" w:hAnsi="Franklin Gothic Book"/>
        </w:rPr>
        <w:t xml:space="preserve"> conductor pathways and trenching requirements</w:t>
      </w:r>
      <w:r w:rsidR="00480347" w:rsidRPr="00E41100">
        <w:rPr>
          <w:rFonts w:ascii="Franklin Gothic Book" w:hAnsi="Franklin Gothic Book"/>
        </w:rPr>
        <w:t>.</w:t>
      </w:r>
    </w:p>
    <w:p w14:paraId="14AF86A1" w14:textId="08853624" w:rsidR="00BD4062" w:rsidRDefault="00DC58F0" w:rsidP="00E41100">
      <w:pPr>
        <w:pStyle w:val="EEREBodyText"/>
      </w:pPr>
      <w:r>
        <w:t>The</w:t>
      </w:r>
      <w:r w:rsidR="00CE7FF4">
        <w:t xml:space="preserve"> DE</w:t>
      </w:r>
      <w:r>
        <w:t xml:space="preserve"> project</w:t>
      </w:r>
      <w:r w:rsidR="00CE7FF4">
        <w:t>’s</w:t>
      </w:r>
      <w:r>
        <w:t xml:space="preserve"> location is a critical driver of interconnection cost. Projects should typically be located relatively close to their </w:t>
      </w:r>
      <w:r w:rsidR="00AF1843">
        <w:t>POCC</w:t>
      </w:r>
      <w:r>
        <w:t xml:space="preserve"> (the point of demarcation between the </w:t>
      </w:r>
      <w:r w:rsidR="00BD4062">
        <w:t xml:space="preserve">agency’s </w:t>
      </w:r>
      <w:r>
        <w:t>and utility’s systems</w:t>
      </w:r>
      <w:r w:rsidR="00BD4062">
        <w:t>)</w:t>
      </w:r>
      <w:r>
        <w:t>.</w:t>
      </w:r>
      <w:r w:rsidR="00BD4062">
        <w:t xml:space="preserve"> This is where the project will typically connect to the utility’s </w:t>
      </w:r>
      <w:r w:rsidR="00FB660E">
        <w:t>grid if</w:t>
      </w:r>
      <w:r w:rsidR="00BD4062">
        <w:t xml:space="preserve"> the project will operate in parallel </w:t>
      </w:r>
      <w:r w:rsidR="00CE7FF4">
        <w:t>with the utility’s system</w:t>
      </w:r>
      <w:r w:rsidR="00BD4062">
        <w:t>.</w:t>
      </w:r>
      <w:r>
        <w:t xml:space="preserve"> </w:t>
      </w:r>
      <w:r w:rsidR="00BD4062">
        <w:t xml:space="preserve">Siting the project near the POCC </w:t>
      </w:r>
      <w:r>
        <w:t>may not be possible in all cases, so projects that are located further away should consider</w:t>
      </w:r>
      <w:r w:rsidR="00BD4062">
        <w:t xml:space="preserve"> the </w:t>
      </w:r>
      <w:r w:rsidR="004049FB">
        <w:t xml:space="preserve">path and </w:t>
      </w:r>
      <w:r w:rsidR="00BD4062">
        <w:t xml:space="preserve">cost of </w:t>
      </w:r>
      <w:r w:rsidR="004049FB">
        <w:t xml:space="preserve">additional overhead lines, </w:t>
      </w:r>
      <w:r w:rsidR="00BD4062">
        <w:t xml:space="preserve">trenching </w:t>
      </w:r>
      <w:r w:rsidR="00A46EBC">
        <w:t xml:space="preserve">or directional drilling </w:t>
      </w:r>
      <w:r w:rsidR="00BD4062">
        <w:t xml:space="preserve">(if outdoors) to connect the project. If the </w:t>
      </w:r>
      <w:r w:rsidR="00026DCB">
        <w:t>DE</w:t>
      </w:r>
      <w:r w:rsidR="00BD4062">
        <w:t xml:space="preserve"> project </w:t>
      </w:r>
      <w:r w:rsidR="00BD4062" w:rsidRPr="00F409E3">
        <w:t>is located</w:t>
      </w:r>
      <w:r w:rsidR="00F409E3" w:rsidRPr="00F409E3">
        <w:t xml:space="preserve"> on or inside a building</w:t>
      </w:r>
      <w:r w:rsidR="00BD4062" w:rsidRPr="00F409E3">
        <w:t>,</w:t>
      </w:r>
      <w:r w:rsidR="00BD4062">
        <w:t xml:space="preserve"> consideration should be given to how the project will connect to the building’s existing electrical panel.</w:t>
      </w:r>
    </w:p>
    <w:p w14:paraId="19C28217" w14:textId="77777777" w:rsidR="00957A5C" w:rsidRDefault="00957A5C" w:rsidP="00E41100">
      <w:pPr>
        <w:pStyle w:val="EEREBodyText"/>
      </w:pPr>
    </w:p>
    <w:p w14:paraId="573A1A5F" w14:textId="5391F77E" w:rsidR="00CE7FF4" w:rsidRPr="007C1CD8" w:rsidRDefault="002B5EF5" w:rsidP="00A62E7F">
      <w:pPr>
        <w:pStyle w:val="Heading3"/>
        <w:spacing w:before="0" w:after="120"/>
        <w:rPr>
          <w:rFonts w:ascii="Helvetica" w:hAnsi="Helvetica" w:cs="Helvetica"/>
          <w:color w:val="auto"/>
        </w:rPr>
      </w:pPr>
      <w:sdt>
        <w:sdtPr>
          <w:rPr>
            <w:rFonts w:ascii="Helvetica" w:hAnsi="Helvetica" w:cs="Helvetica"/>
          </w:rPr>
          <w:id w:val="1641923474"/>
          <w15:appearance w15:val="hidden"/>
          <w14:checkbox>
            <w14:checked w14:val="0"/>
            <w14:checkedState w14:val="2612" w14:font="MS Gothic"/>
            <w14:uncheckedState w14:val="2610" w14:font="MS Gothic"/>
          </w14:checkbox>
        </w:sdtPr>
        <w:sdtEndPr/>
        <w:sdtContent>
          <w:r w:rsidR="00CE7FF4" w:rsidRPr="007C1CD8">
            <w:rPr>
              <w:rFonts w:ascii="Segoe UI Symbol" w:eastAsia="MS Gothic" w:hAnsi="Segoe UI Symbol" w:cs="Segoe UI Symbol"/>
            </w:rPr>
            <w:t>☐</w:t>
          </w:r>
        </w:sdtContent>
      </w:sdt>
      <w:r w:rsidR="00BE1D10" w:rsidRPr="00E41100">
        <w:rPr>
          <w:rFonts w:ascii="Franklin Gothic Book" w:hAnsi="Franklin Gothic Book" w:cs="Helvetica"/>
        </w:rPr>
        <w:t xml:space="preserve"> </w:t>
      </w:r>
      <w:r w:rsidR="00BE1D10" w:rsidRPr="00E41100">
        <w:rPr>
          <w:rFonts w:ascii="Franklin Gothic Book" w:hAnsi="Franklin Gothic Book" w:cs="Helvetica"/>
          <w:color w:val="auto"/>
        </w:rPr>
        <w:t xml:space="preserve">Consider </w:t>
      </w:r>
      <w:r w:rsidR="00A24662" w:rsidRPr="00E41100">
        <w:rPr>
          <w:rFonts w:ascii="Franklin Gothic Book" w:hAnsi="Franklin Gothic Book" w:cs="Helvetica"/>
          <w:color w:val="auto"/>
        </w:rPr>
        <w:t xml:space="preserve">the </w:t>
      </w:r>
      <w:r w:rsidR="00BE25AC" w:rsidRPr="00E41100">
        <w:rPr>
          <w:rFonts w:ascii="Franklin Gothic Book" w:hAnsi="Franklin Gothic Book" w:cs="Helvetica"/>
          <w:color w:val="auto"/>
        </w:rPr>
        <w:t xml:space="preserve">anticipated </w:t>
      </w:r>
      <w:r w:rsidR="00BE1D10" w:rsidRPr="00E41100">
        <w:rPr>
          <w:rFonts w:ascii="Franklin Gothic Book" w:hAnsi="Franklin Gothic Book" w:cs="Helvetica"/>
          <w:color w:val="auto"/>
        </w:rPr>
        <w:t xml:space="preserve">project size </w:t>
      </w:r>
      <w:r w:rsidR="00A41CA7" w:rsidRPr="00E41100">
        <w:rPr>
          <w:rFonts w:ascii="Franklin Gothic Book" w:hAnsi="Franklin Gothic Book" w:cs="Helvetica"/>
          <w:color w:val="auto"/>
        </w:rPr>
        <w:t xml:space="preserve">(AC capacity, </w:t>
      </w:r>
      <w:r w:rsidR="00CE7FF4" w:rsidRPr="00E41100">
        <w:rPr>
          <w:rFonts w:ascii="Franklin Gothic Book" w:hAnsi="Franklin Gothic Book" w:cs="Helvetica"/>
          <w:color w:val="auto"/>
        </w:rPr>
        <w:t>k</w:t>
      </w:r>
      <w:r w:rsidR="00A41CA7" w:rsidRPr="00E41100">
        <w:rPr>
          <w:rFonts w:ascii="Franklin Gothic Book" w:hAnsi="Franklin Gothic Book" w:cs="Helvetica"/>
          <w:color w:val="auto"/>
        </w:rPr>
        <w:t xml:space="preserve">W) </w:t>
      </w:r>
      <w:r w:rsidR="00BE1D10" w:rsidRPr="00E41100">
        <w:rPr>
          <w:rFonts w:ascii="Franklin Gothic Book" w:hAnsi="Franklin Gothic Book" w:cs="Helvetica"/>
          <w:color w:val="auto"/>
        </w:rPr>
        <w:t>relative to</w:t>
      </w:r>
      <w:r w:rsidR="00A24662" w:rsidRPr="00E41100">
        <w:rPr>
          <w:rFonts w:ascii="Franklin Gothic Book" w:hAnsi="Franklin Gothic Book" w:cs="Helvetica"/>
          <w:color w:val="auto"/>
        </w:rPr>
        <w:t xml:space="preserve"> the</w:t>
      </w:r>
      <w:r w:rsidR="00BE1D10" w:rsidRPr="00E41100">
        <w:rPr>
          <w:rFonts w:ascii="Franklin Gothic Book" w:hAnsi="Franklin Gothic Book" w:cs="Helvetica"/>
          <w:color w:val="auto"/>
        </w:rPr>
        <w:t xml:space="preserve"> utility’s interconnection requirements and thresholds.</w:t>
      </w:r>
      <w:r w:rsidR="00BE25AC" w:rsidRPr="00E41100">
        <w:rPr>
          <w:rFonts w:ascii="Franklin Gothic Book" w:hAnsi="Franklin Gothic Book" w:cs="Helvetica"/>
          <w:color w:val="auto"/>
        </w:rPr>
        <w:t xml:space="preserve"> Ensure that all project size limitations are clearly specified in the procurement documents</w:t>
      </w:r>
      <w:r w:rsidR="00F51862" w:rsidRPr="00E41100">
        <w:rPr>
          <w:rFonts w:ascii="Franklin Gothic Book" w:hAnsi="Franklin Gothic Book" w:cs="Helvetica"/>
          <w:color w:val="auto"/>
        </w:rPr>
        <w:t>.</w:t>
      </w:r>
    </w:p>
    <w:p w14:paraId="398DC13E" w14:textId="56057449" w:rsidR="00AF1843" w:rsidRDefault="00F51862" w:rsidP="00E41100">
      <w:pPr>
        <w:pStyle w:val="EEREBodyText"/>
      </w:pPr>
      <w:r w:rsidRPr="007C1CD8">
        <w:t xml:space="preserve">The utility may have size </w:t>
      </w:r>
      <w:r w:rsidR="00975EDB" w:rsidRPr="007C1CD8">
        <w:t>threshold</w:t>
      </w:r>
      <w:r w:rsidRPr="007C1CD8">
        <w:t xml:space="preserve">s for different levels of interconnection review. </w:t>
      </w:r>
      <w:r w:rsidR="00AF1843" w:rsidRPr="007C1CD8">
        <w:t>Particularly for solar PV (which can be categorized by its DC or AC capacity), it is important to clearly define whether these maximum sizes are determined by the solar PV modules’ nameplate (DC) or inverter size (AC</w:t>
      </w:r>
      <w:r w:rsidR="00B64957" w:rsidRPr="007C1CD8">
        <w:t>)</w:t>
      </w:r>
      <w:r w:rsidR="00AF1843" w:rsidRPr="007C1CD8">
        <w:t xml:space="preserve">. </w:t>
      </w:r>
    </w:p>
    <w:p w14:paraId="2A4AFCBF" w14:textId="77777777" w:rsidR="00957A5C" w:rsidRPr="007C1CD8" w:rsidRDefault="00957A5C" w:rsidP="00E41100">
      <w:pPr>
        <w:pStyle w:val="EEREBodyText"/>
      </w:pPr>
    </w:p>
    <w:p w14:paraId="61FD8470" w14:textId="1822C0B1" w:rsidR="008C7414" w:rsidRPr="007C1CD8" w:rsidRDefault="002B5EF5" w:rsidP="00AF1843">
      <w:pPr>
        <w:spacing w:after="120"/>
        <w:rPr>
          <w:rFonts w:ascii="Helvetica" w:hAnsi="Helvetica" w:cs="Helvetica"/>
          <w:sz w:val="24"/>
          <w:szCs w:val="24"/>
        </w:rPr>
      </w:pPr>
      <w:sdt>
        <w:sdtPr>
          <w:rPr>
            <w:rFonts w:ascii="Franklin Gothic Book" w:hAnsi="Franklin Gothic Book" w:cs="Helvetica"/>
            <w:sz w:val="24"/>
            <w:szCs w:val="24"/>
          </w:rPr>
          <w:id w:val="1668668334"/>
          <w15:appearance w15:val="hidden"/>
          <w14:checkbox>
            <w14:checked w14:val="0"/>
            <w14:checkedState w14:val="2612" w14:font="MS Gothic"/>
            <w14:uncheckedState w14:val="2610" w14:font="MS Gothic"/>
          </w14:checkbox>
        </w:sdtPr>
        <w:sdtEndPr/>
        <w:sdtContent>
          <w:r w:rsidR="00EF1602" w:rsidRPr="00E41100">
            <w:rPr>
              <w:rFonts w:ascii="Segoe UI Symbol" w:eastAsia="MS Gothic" w:hAnsi="Segoe UI Symbol" w:cs="Segoe UI Symbol"/>
              <w:sz w:val="24"/>
              <w:szCs w:val="24"/>
            </w:rPr>
            <w:t>☐</w:t>
          </w:r>
        </w:sdtContent>
      </w:sdt>
      <w:r w:rsidR="00D566B6" w:rsidRPr="00E41100">
        <w:rPr>
          <w:rFonts w:ascii="Franklin Gothic Book" w:hAnsi="Franklin Gothic Book" w:cs="Helvetica"/>
          <w:sz w:val="24"/>
          <w:szCs w:val="24"/>
        </w:rPr>
        <w:t xml:space="preserve"> Identify </w:t>
      </w:r>
      <w:r w:rsidR="008C7414" w:rsidRPr="00E41100">
        <w:rPr>
          <w:rFonts w:ascii="Franklin Gothic Book" w:hAnsi="Franklin Gothic Book" w:cs="Helvetica"/>
          <w:sz w:val="24"/>
          <w:szCs w:val="24"/>
        </w:rPr>
        <w:t>project</w:t>
      </w:r>
      <w:r w:rsidR="008D2C97" w:rsidRPr="00E41100">
        <w:rPr>
          <w:rFonts w:ascii="Franklin Gothic Book" w:hAnsi="Franklin Gothic Book" w:cs="Helvetica"/>
          <w:sz w:val="24"/>
          <w:szCs w:val="24"/>
        </w:rPr>
        <w:t>’s</w:t>
      </w:r>
      <w:r w:rsidR="008C7414" w:rsidRPr="00E41100">
        <w:rPr>
          <w:rFonts w:ascii="Franklin Gothic Book" w:hAnsi="Franklin Gothic Book" w:cs="Helvetica"/>
          <w:sz w:val="24"/>
          <w:szCs w:val="24"/>
        </w:rPr>
        <w:t xml:space="preserve"> </w:t>
      </w:r>
      <w:r w:rsidR="003053FF" w:rsidRPr="00E41100">
        <w:rPr>
          <w:rFonts w:ascii="Franklin Gothic Book" w:hAnsi="Franklin Gothic Book" w:cs="Helvetica"/>
          <w:sz w:val="24"/>
          <w:szCs w:val="24"/>
        </w:rPr>
        <w:t xml:space="preserve">potential </w:t>
      </w:r>
      <w:r w:rsidR="008D2C97" w:rsidRPr="00E41100">
        <w:rPr>
          <w:rFonts w:ascii="Franklin Gothic Book" w:hAnsi="Franklin Gothic Book" w:cs="Helvetica"/>
          <w:sz w:val="24"/>
          <w:szCs w:val="24"/>
        </w:rPr>
        <w:t xml:space="preserve">utility </w:t>
      </w:r>
      <w:r w:rsidR="008C7414" w:rsidRPr="00E41100">
        <w:rPr>
          <w:rFonts w:ascii="Franklin Gothic Book" w:hAnsi="Franklin Gothic Book" w:cs="Helvetica"/>
          <w:sz w:val="24"/>
          <w:szCs w:val="24"/>
        </w:rPr>
        <w:t xml:space="preserve">disconnect </w:t>
      </w:r>
      <w:r w:rsidR="00D566B6" w:rsidRPr="00E41100">
        <w:rPr>
          <w:rFonts w:ascii="Franklin Gothic Book" w:hAnsi="Franklin Gothic Book" w:cs="Helvetica"/>
          <w:sz w:val="24"/>
          <w:szCs w:val="24"/>
        </w:rPr>
        <w:t>location</w:t>
      </w:r>
      <w:r w:rsidR="009823F9" w:rsidRPr="00E41100">
        <w:rPr>
          <w:rFonts w:ascii="Franklin Gothic Book" w:hAnsi="Franklin Gothic Book" w:cs="Helvetica"/>
          <w:sz w:val="24"/>
          <w:szCs w:val="24"/>
        </w:rPr>
        <w:t>.</w:t>
      </w:r>
    </w:p>
    <w:p w14:paraId="5F441FCA" w14:textId="19CEF844" w:rsidR="00E41100" w:rsidRDefault="00A46EBC" w:rsidP="00E41100">
      <w:pPr>
        <w:pStyle w:val="EEREBodyText"/>
      </w:pPr>
      <w:r>
        <w:t>Consider whether there are utility site access requirements for safety or inspection that need to be considered in the siting of the disconnect location.</w:t>
      </w:r>
      <w:r w:rsidRPr="007C1CD8">
        <w:t xml:space="preserve"> Discuss</w:t>
      </w:r>
      <w:r w:rsidR="006730CB" w:rsidRPr="007C1CD8">
        <w:t xml:space="preserve"> with </w:t>
      </w:r>
      <w:r w:rsidR="00A24662" w:rsidRPr="007C1CD8">
        <w:t xml:space="preserve">the </w:t>
      </w:r>
      <w:r w:rsidR="006730CB" w:rsidRPr="007C1CD8">
        <w:t>serving utility to make sure you understand their requirements</w:t>
      </w:r>
      <w:r w:rsidR="00EF1602" w:rsidRPr="007C1CD8">
        <w:t xml:space="preserve">. </w:t>
      </w:r>
      <w:r w:rsidR="00975EDB" w:rsidRPr="007C1CD8">
        <w:t xml:space="preserve">Your local </w:t>
      </w:r>
      <w:r w:rsidR="00F409E3" w:rsidRPr="007C1CD8">
        <w:t>fire department</w:t>
      </w:r>
      <w:r w:rsidR="00975EDB" w:rsidRPr="007C1CD8">
        <w:t xml:space="preserve"> may have </w:t>
      </w:r>
      <w:r w:rsidR="00EF1602" w:rsidRPr="007C1CD8">
        <w:t xml:space="preserve">requirements as well. </w:t>
      </w:r>
      <w:r>
        <w:t xml:space="preserve">This may be particularly challenging for secure federal sites, so begin conversations about site access </w:t>
      </w:r>
      <w:r w:rsidR="004049FB">
        <w:t>early in the</w:t>
      </w:r>
      <w:r>
        <w:t xml:space="preserve"> process.</w:t>
      </w:r>
    </w:p>
    <w:p w14:paraId="1A038782" w14:textId="1472520F" w:rsidR="00E41100" w:rsidRDefault="00E41100" w:rsidP="00E41100">
      <w:pPr>
        <w:pStyle w:val="EEREBodyText"/>
      </w:pPr>
    </w:p>
    <w:p w14:paraId="00C2B609" w14:textId="77777777" w:rsidR="00E41100" w:rsidRPr="007C1CD8" w:rsidRDefault="00E41100" w:rsidP="00E41100">
      <w:pPr>
        <w:pStyle w:val="EEREBodyText"/>
      </w:pPr>
    </w:p>
    <w:p w14:paraId="4F3DE94B" w14:textId="3D45F8D7" w:rsidR="00F51862" w:rsidRPr="007C1CD8" w:rsidRDefault="002B5EF5" w:rsidP="00A62E7F">
      <w:pPr>
        <w:pStyle w:val="Style1"/>
        <w:spacing w:before="0" w:after="120"/>
      </w:pPr>
      <w:sdt>
        <w:sdtPr>
          <w:rPr>
            <w:rFonts w:ascii="Franklin Gothic Book" w:hAnsi="Franklin Gothic Book"/>
          </w:rPr>
          <w:id w:val="1900929579"/>
          <w15:appearance w15:val="hidden"/>
          <w14:checkbox>
            <w14:checked w14:val="0"/>
            <w14:checkedState w14:val="2612" w14:font="MS Gothic"/>
            <w14:uncheckedState w14:val="2610" w14:font="MS Gothic"/>
          </w14:checkbox>
        </w:sdtPr>
        <w:sdtEndPr/>
        <w:sdtContent>
          <w:r w:rsidR="00F1734C" w:rsidRPr="00E41100">
            <w:rPr>
              <w:rFonts w:ascii="Segoe UI Symbol" w:eastAsia="MS Gothic" w:hAnsi="Segoe UI Symbol" w:cs="Segoe UI Symbol"/>
            </w:rPr>
            <w:t>☐</w:t>
          </w:r>
        </w:sdtContent>
      </w:sdt>
      <w:r w:rsidR="00F1734C" w:rsidRPr="00E41100">
        <w:rPr>
          <w:rFonts w:ascii="Franklin Gothic Book" w:hAnsi="Franklin Gothic Book"/>
        </w:rPr>
        <w:t xml:space="preserve"> </w:t>
      </w:r>
      <w:r w:rsidR="00975EDB" w:rsidRPr="00E41100">
        <w:rPr>
          <w:rFonts w:ascii="Franklin Gothic Book" w:hAnsi="Franklin Gothic Book"/>
        </w:rPr>
        <w:t>Determine whether there are any</w:t>
      </w:r>
      <w:r w:rsidR="008E1A9E" w:rsidRPr="00E41100">
        <w:rPr>
          <w:rFonts w:ascii="Franklin Gothic Book" w:hAnsi="Franklin Gothic Book"/>
        </w:rPr>
        <w:t xml:space="preserve"> technical barriers to electricity export</w:t>
      </w:r>
      <w:r w:rsidR="00E41100" w:rsidRPr="00E41100">
        <w:rPr>
          <w:rFonts w:ascii="Franklin Gothic Book" w:hAnsi="Franklin Gothic Book"/>
        </w:rPr>
        <w:t>.</w:t>
      </w:r>
    </w:p>
    <w:p w14:paraId="7D1C8F60" w14:textId="34170A1E" w:rsidR="00F1734C" w:rsidRDefault="00F51862" w:rsidP="00E41100">
      <w:pPr>
        <w:pStyle w:val="EEREBodyText"/>
      </w:pPr>
      <w:r w:rsidRPr="007C1CD8">
        <w:t xml:space="preserve">Consult with </w:t>
      </w:r>
      <w:r w:rsidR="00975EDB" w:rsidRPr="007C1CD8">
        <w:t xml:space="preserve">the utility and </w:t>
      </w:r>
      <w:r w:rsidRPr="007C1CD8">
        <w:t>site facilities</w:t>
      </w:r>
      <w:r w:rsidR="00975EDB" w:rsidRPr="007C1CD8">
        <w:t>/electrical engineering</w:t>
      </w:r>
      <w:r w:rsidRPr="007C1CD8">
        <w:t xml:space="preserve"> staff to understand existing</w:t>
      </w:r>
      <w:r w:rsidR="00F838C1" w:rsidRPr="007C1CD8">
        <w:t xml:space="preserve"> </w:t>
      </w:r>
      <w:r w:rsidR="00B50292" w:rsidRPr="007C1CD8">
        <w:t xml:space="preserve">electricity transmission, </w:t>
      </w:r>
      <w:r w:rsidR="00FB660E" w:rsidRPr="007C1CD8">
        <w:t>substation,</w:t>
      </w:r>
      <w:r w:rsidR="00B50292" w:rsidRPr="007C1CD8">
        <w:t xml:space="preserve"> </w:t>
      </w:r>
      <w:r w:rsidR="00F838C1" w:rsidRPr="007C1CD8">
        <w:t xml:space="preserve">on-site </w:t>
      </w:r>
      <w:r w:rsidR="0012166E" w:rsidRPr="007C1CD8">
        <w:t xml:space="preserve">distribution system </w:t>
      </w:r>
      <w:r w:rsidR="00F838C1" w:rsidRPr="007C1CD8">
        <w:t>conditions</w:t>
      </w:r>
      <w:r w:rsidR="00F05BE0">
        <w:t>, and loads,</w:t>
      </w:r>
      <w:r w:rsidRPr="007C1CD8">
        <w:t xml:space="preserve"> </w:t>
      </w:r>
      <w:r w:rsidR="00F05BE0">
        <w:t xml:space="preserve">as well as </w:t>
      </w:r>
      <w:r w:rsidRPr="007C1CD8">
        <w:t xml:space="preserve">whether the proposed DE project would pose any problems. </w:t>
      </w:r>
      <w:r w:rsidR="00F05BE0">
        <w:t xml:space="preserve">For example, the utility may not allow grid-export for a DE project. </w:t>
      </w:r>
      <w:r w:rsidR="00B50292" w:rsidRPr="007C1CD8">
        <w:t xml:space="preserve">If problems are identified, discuss potential solutions and estimated cost. </w:t>
      </w:r>
    </w:p>
    <w:p w14:paraId="72EBEA53" w14:textId="77777777" w:rsidR="00957A5C" w:rsidRPr="007C1CD8" w:rsidRDefault="00957A5C" w:rsidP="00E41100">
      <w:pPr>
        <w:pStyle w:val="EEREBodyText"/>
      </w:pPr>
    </w:p>
    <w:p w14:paraId="3D81ADE0" w14:textId="1190C668" w:rsidR="006A4E9F" w:rsidRPr="007C1CD8" w:rsidRDefault="002B5EF5" w:rsidP="00A62E7F">
      <w:pPr>
        <w:pStyle w:val="Style1"/>
        <w:spacing w:before="0" w:after="120"/>
      </w:pPr>
      <w:sdt>
        <w:sdtPr>
          <w:id w:val="-1605877742"/>
          <w15:appearance w15:val="hidden"/>
          <w14:checkbox>
            <w14:checked w14:val="0"/>
            <w14:checkedState w14:val="2612" w14:font="MS Gothic"/>
            <w14:uncheckedState w14:val="2610" w14:font="MS Gothic"/>
          </w14:checkbox>
        </w:sdtPr>
        <w:sdtEndPr/>
        <w:sdtContent>
          <w:r w:rsidR="00F1734C" w:rsidRPr="007C1CD8">
            <w:rPr>
              <w:rFonts w:ascii="MS Gothic" w:eastAsia="MS Gothic" w:hAnsi="MS Gothic" w:hint="eastAsia"/>
            </w:rPr>
            <w:t>☐</w:t>
          </w:r>
        </w:sdtContent>
      </w:sdt>
      <w:r w:rsidR="006A4E9F" w:rsidRPr="00E41100">
        <w:rPr>
          <w:rFonts w:ascii="Franklin Gothic Book" w:hAnsi="Franklin Gothic Book"/>
        </w:rPr>
        <w:t xml:space="preserve"> </w:t>
      </w:r>
      <w:r w:rsidR="008C7414" w:rsidRPr="00E41100">
        <w:rPr>
          <w:rFonts w:ascii="Franklin Gothic Book" w:hAnsi="Franklin Gothic Book"/>
        </w:rPr>
        <w:t xml:space="preserve">Confirm whether </w:t>
      </w:r>
      <w:r w:rsidR="006A4E9F" w:rsidRPr="00E41100">
        <w:rPr>
          <w:rFonts w:ascii="Franklin Gothic Book" w:hAnsi="Franklin Gothic Book"/>
        </w:rPr>
        <w:t xml:space="preserve">a new </w:t>
      </w:r>
      <w:r w:rsidR="00A41CA7" w:rsidRPr="00E41100">
        <w:rPr>
          <w:rFonts w:ascii="Franklin Gothic Book" w:hAnsi="Franklin Gothic Book"/>
        </w:rPr>
        <w:t>production</w:t>
      </w:r>
      <w:r w:rsidR="006A4E9F" w:rsidRPr="00E41100">
        <w:rPr>
          <w:rFonts w:ascii="Franklin Gothic Book" w:hAnsi="Franklin Gothic Book"/>
        </w:rPr>
        <w:t xml:space="preserve"> meter</w:t>
      </w:r>
      <w:r w:rsidR="008D2C97" w:rsidRPr="00E41100">
        <w:rPr>
          <w:rFonts w:ascii="Franklin Gothic Book" w:hAnsi="Franklin Gothic Book"/>
        </w:rPr>
        <w:t xml:space="preserve"> will</w:t>
      </w:r>
      <w:r w:rsidR="006A4E9F" w:rsidRPr="00E41100">
        <w:rPr>
          <w:rFonts w:ascii="Franklin Gothic Book" w:hAnsi="Franklin Gothic Book"/>
        </w:rPr>
        <w:t xml:space="preserve"> be required</w:t>
      </w:r>
      <w:r w:rsidR="00CC1120" w:rsidRPr="00E41100">
        <w:rPr>
          <w:rFonts w:ascii="Franklin Gothic Book" w:hAnsi="Franklin Gothic Book"/>
        </w:rPr>
        <w:t xml:space="preserve">, as well as the </w:t>
      </w:r>
      <w:r w:rsidR="00F838C1" w:rsidRPr="00E41100">
        <w:rPr>
          <w:rFonts w:ascii="Franklin Gothic Book" w:hAnsi="Franklin Gothic Book"/>
        </w:rPr>
        <w:t xml:space="preserve">ownership, </w:t>
      </w:r>
      <w:r w:rsidR="00FB660E" w:rsidRPr="00E41100">
        <w:rPr>
          <w:rFonts w:ascii="Franklin Gothic Book" w:hAnsi="Franklin Gothic Book"/>
        </w:rPr>
        <w:t>type,</w:t>
      </w:r>
      <w:r w:rsidR="00BE1D10" w:rsidRPr="00E41100">
        <w:rPr>
          <w:rFonts w:ascii="Franklin Gothic Book" w:hAnsi="Franklin Gothic Book"/>
        </w:rPr>
        <w:t xml:space="preserve"> and location of </w:t>
      </w:r>
      <w:r w:rsidR="00F838C1" w:rsidRPr="00E41100">
        <w:rPr>
          <w:rFonts w:ascii="Franklin Gothic Book" w:hAnsi="Franklin Gothic Book"/>
        </w:rPr>
        <w:t xml:space="preserve">any </w:t>
      </w:r>
      <w:r w:rsidR="00BE1D10" w:rsidRPr="00E41100">
        <w:rPr>
          <w:rFonts w:ascii="Franklin Gothic Book" w:hAnsi="Franklin Gothic Book"/>
        </w:rPr>
        <w:t>meter</w:t>
      </w:r>
      <w:r w:rsidR="00F838C1" w:rsidRPr="00E41100">
        <w:rPr>
          <w:rFonts w:ascii="Franklin Gothic Book" w:hAnsi="Franklin Gothic Book"/>
        </w:rPr>
        <w:t>(s)</w:t>
      </w:r>
      <w:r w:rsidR="009823F9" w:rsidRPr="00E41100">
        <w:rPr>
          <w:rFonts w:ascii="Franklin Gothic Book" w:hAnsi="Franklin Gothic Book"/>
        </w:rPr>
        <w:t>.</w:t>
      </w:r>
      <w:r w:rsidR="006A4E9F" w:rsidRPr="007C1CD8">
        <w:t xml:space="preserve"> </w:t>
      </w:r>
    </w:p>
    <w:p w14:paraId="3CC83DE7" w14:textId="5F8972A7" w:rsidR="00827FF8" w:rsidRDefault="00827FF8" w:rsidP="00E41100">
      <w:pPr>
        <w:pStyle w:val="EEREBodyText"/>
      </w:pPr>
      <w:r w:rsidRPr="007C1CD8">
        <w:t xml:space="preserve">There are many types of meters, and utility </w:t>
      </w:r>
      <w:r w:rsidR="0012166E" w:rsidRPr="007C1CD8">
        <w:t xml:space="preserve">DE metering </w:t>
      </w:r>
      <w:r w:rsidR="00B50292" w:rsidRPr="007C1CD8">
        <w:t>requirements can</w:t>
      </w:r>
      <w:r w:rsidR="0012166E" w:rsidRPr="007C1CD8">
        <w:t xml:space="preserve"> </w:t>
      </w:r>
      <w:r w:rsidRPr="007C1CD8">
        <w:t xml:space="preserve">vary considerably. </w:t>
      </w:r>
      <w:r w:rsidR="00F838C1" w:rsidRPr="007C1CD8">
        <w:t>A</w:t>
      </w:r>
      <w:r w:rsidRPr="007C1CD8">
        <w:t xml:space="preserve">sk additional questions about what </w:t>
      </w:r>
      <w:r w:rsidR="00A24662" w:rsidRPr="007C1CD8">
        <w:t>the</w:t>
      </w:r>
      <w:r w:rsidRPr="007C1CD8">
        <w:t xml:space="preserve"> utility requires for metering, including: recommended meter products, required meter capabilities and communications requirements (if the utility needs to view metered production remotely). </w:t>
      </w:r>
      <w:r w:rsidR="00F838C1" w:rsidRPr="007C1CD8">
        <w:t xml:space="preserve">Determine who will pay for and maintain any new </w:t>
      </w:r>
      <w:r w:rsidR="0012166E" w:rsidRPr="007C1CD8">
        <w:t xml:space="preserve">required </w:t>
      </w:r>
      <w:r w:rsidR="00B50292" w:rsidRPr="007C1CD8">
        <w:t>meters (</w:t>
      </w:r>
      <w:r w:rsidR="00F838C1" w:rsidRPr="007C1CD8">
        <w:t>utility, agency, or contractor).</w:t>
      </w:r>
    </w:p>
    <w:p w14:paraId="37005E4A" w14:textId="77777777" w:rsidR="00957A5C" w:rsidRPr="007C1CD8" w:rsidRDefault="00957A5C" w:rsidP="00E41100">
      <w:pPr>
        <w:pStyle w:val="EEREBodyText"/>
      </w:pPr>
    </w:p>
    <w:p w14:paraId="0981323F" w14:textId="308CCF8A" w:rsidR="00F1734C" w:rsidRPr="007C1CD8" w:rsidRDefault="002B5EF5" w:rsidP="00A62E7F">
      <w:pPr>
        <w:pStyle w:val="Style1"/>
        <w:spacing w:before="0" w:after="120"/>
      </w:pPr>
      <w:sdt>
        <w:sdtPr>
          <w:rPr>
            <w:rFonts w:ascii="Franklin Gothic Book" w:hAnsi="Franklin Gothic Book"/>
          </w:rPr>
          <w:id w:val="1345988743"/>
          <w15:appearance w15:val="hidden"/>
          <w14:checkbox>
            <w14:checked w14:val="0"/>
            <w14:checkedState w14:val="2612" w14:font="MS Gothic"/>
            <w14:uncheckedState w14:val="2610" w14:font="MS Gothic"/>
          </w14:checkbox>
        </w:sdtPr>
        <w:sdtEndPr/>
        <w:sdtContent>
          <w:r w:rsidR="007A7440" w:rsidRPr="00E41100">
            <w:rPr>
              <w:rFonts w:ascii="Segoe UI Symbol" w:eastAsia="MS Gothic" w:hAnsi="Segoe UI Symbol" w:cs="Segoe UI Symbol"/>
            </w:rPr>
            <w:t>☐</w:t>
          </w:r>
        </w:sdtContent>
      </w:sdt>
      <w:r w:rsidR="00F1734C" w:rsidRPr="00E41100">
        <w:rPr>
          <w:rFonts w:ascii="Franklin Gothic Book" w:hAnsi="Franklin Gothic Book"/>
        </w:rPr>
        <w:t xml:space="preserve"> </w:t>
      </w:r>
      <w:r w:rsidR="007A7440" w:rsidRPr="00E41100">
        <w:rPr>
          <w:rFonts w:ascii="Franklin Gothic Book" w:hAnsi="Franklin Gothic Book"/>
        </w:rPr>
        <w:t xml:space="preserve">Identify applicable cyber security requirements based on proposed project and the need for control systems, </w:t>
      </w:r>
      <w:r w:rsidR="00F1734C" w:rsidRPr="00E41100">
        <w:rPr>
          <w:rFonts w:ascii="Franklin Gothic Book" w:hAnsi="Franklin Gothic Book"/>
        </w:rPr>
        <w:t>advanced meters</w:t>
      </w:r>
      <w:r w:rsidR="007A7440" w:rsidRPr="00E41100">
        <w:rPr>
          <w:rFonts w:ascii="Franklin Gothic Book" w:hAnsi="Franklin Gothic Book"/>
        </w:rPr>
        <w:t xml:space="preserve">/other </w:t>
      </w:r>
      <w:r w:rsidR="00F1734C" w:rsidRPr="00E41100">
        <w:rPr>
          <w:rFonts w:ascii="Franklin Gothic Book" w:hAnsi="Franklin Gothic Book"/>
        </w:rPr>
        <w:t>telemetry</w:t>
      </w:r>
      <w:r w:rsidR="007A7440" w:rsidRPr="00E41100">
        <w:rPr>
          <w:rFonts w:ascii="Franklin Gothic Book" w:hAnsi="Franklin Gothic Book"/>
        </w:rPr>
        <w:t xml:space="preserve"> requirements, etc</w:t>
      </w:r>
      <w:r w:rsidR="009823F9" w:rsidRPr="00E41100">
        <w:rPr>
          <w:rFonts w:ascii="Franklin Gothic Book" w:hAnsi="Franklin Gothic Book"/>
        </w:rPr>
        <w:t>.</w:t>
      </w:r>
    </w:p>
    <w:p w14:paraId="046A9CB8" w14:textId="242E0CC2" w:rsidR="00B131C0" w:rsidRDefault="00C45CB8" w:rsidP="00E41100">
      <w:pPr>
        <w:pStyle w:val="EEREBodyText"/>
      </w:pPr>
      <w:r w:rsidRPr="007C1CD8">
        <w:t xml:space="preserve">Your agency </w:t>
      </w:r>
      <w:r w:rsidR="0012166E" w:rsidRPr="007C1CD8">
        <w:t>will likely</w:t>
      </w:r>
      <w:r w:rsidRPr="007C1CD8">
        <w:t xml:space="preserve"> have cybersecurity requirements that limit </w:t>
      </w:r>
      <w:r w:rsidR="00F838C1" w:rsidRPr="007C1CD8">
        <w:t>the utility’s</w:t>
      </w:r>
      <w:r w:rsidRPr="007C1CD8">
        <w:t xml:space="preserve"> connectivity to your site’s networks</w:t>
      </w:r>
      <w:r w:rsidR="00F838C1" w:rsidRPr="007C1CD8">
        <w:t xml:space="preserve"> to remotely monitor the system or access meter data. These requirements </w:t>
      </w:r>
      <w:r w:rsidRPr="007C1CD8">
        <w:t>should be discussed early on with the utility</w:t>
      </w:r>
      <w:r w:rsidR="00F838C1" w:rsidRPr="007C1CD8">
        <w:t>, as cyber security review and approval processes can involve significant cost and timeline risks.</w:t>
      </w:r>
      <w:r w:rsidR="00B131C0" w:rsidRPr="00B131C0">
        <w:t xml:space="preserve"> </w:t>
      </w:r>
      <w:r w:rsidR="00B131C0">
        <w:t>Alternative monitoring systems</w:t>
      </w:r>
      <w:r w:rsidR="004049FB">
        <w:t xml:space="preserve"> that do not connect to an agency’s systems,</w:t>
      </w:r>
      <w:r w:rsidR="00B131C0">
        <w:t xml:space="preserve"> such as cellular based monitoring should be discussed as </w:t>
      </w:r>
      <w:r w:rsidR="004049FB">
        <w:t>well</w:t>
      </w:r>
      <w:r w:rsidR="00B131C0">
        <w:t>.</w:t>
      </w:r>
      <w:r w:rsidR="005953C6">
        <w:t xml:space="preserve"> Many agencies are required to obtain Authorization to Operate (ATO), which involves significant time and investment to meet cyber security requirements. </w:t>
      </w:r>
    </w:p>
    <w:p w14:paraId="15AC3A15" w14:textId="77777777" w:rsidR="00957A5C" w:rsidRPr="007C1CD8" w:rsidRDefault="00957A5C" w:rsidP="00E41100">
      <w:pPr>
        <w:pStyle w:val="EEREBodyText"/>
      </w:pPr>
    </w:p>
    <w:p w14:paraId="48FE3B9A" w14:textId="536B934F" w:rsidR="00C10A9A" w:rsidRPr="00E41100" w:rsidRDefault="002B5EF5" w:rsidP="00A62E7F">
      <w:pPr>
        <w:pStyle w:val="Style1"/>
        <w:spacing w:before="0" w:after="120"/>
        <w:rPr>
          <w:rFonts w:ascii="Franklin Gothic Book" w:hAnsi="Franklin Gothic Book"/>
        </w:rPr>
      </w:pPr>
      <w:sdt>
        <w:sdtPr>
          <w:id w:val="-1786416432"/>
          <w15:appearance w15:val="hidden"/>
          <w14:checkbox>
            <w14:checked w14:val="0"/>
            <w14:checkedState w14:val="2612" w14:font="MS Gothic"/>
            <w14:uncheckedState w14:val="2610" w14:font="MS Gothic"/>
          </w14:checkbox>
        </w:sdtPr>
        <w:sdtEndPr/>
        <w:sdtContent>
          <w:r w:rsidR="00B50292" w:rsidRPr="007C1CD8">
            <w:rPr>
              <w:rFonts w:ascii="MS Gothic" w:eastAsia="MS Gothic" w:hAnsi="MS Gothic" w:hint="eastAsia"/>
            </w:rPr>
            <w:t>☐</w:t>
          </w:r>
        </w:sdtContent>
      </w:sdt>
      <w:r w:rsidR="00C10A9A" w:rsidRPr="00E41100">
        <w:rPr>
          <w:rFonts w:ascii="Franklin Gothic Book" w:hAnsi="Franklin Gothic Book"/>
        </w:rPr>
        <w:t xml:space="preserve"> Obtain detailed utility technical requirements and compare </w:t>
      </w:r>
      <w:r w:rsidR="00A41CA7" w:rsidRPr="00E41100">
        <w:rPr>
          <w:rFonts w:ascii="Franklin Gothic Book" w:hAnsi="Franklin Gothic Book"/>
        </w:rPr>
        <w:t xml:space="preserve">(deconflict) </w:t>
      </w:r>
      <w:r w:rsidR="00C10A9A" w:rsidRPr="00E41100">
        <w:rPr>
          <w:rFonts w:ascii="Franklin Gothic Book" w:hAnsi="Franklin Gothic Book"/>
        </w:rPr>
        <w:t>with agency requirements as needed.</w:t>
      </w:r>
    </w:p>
    <w:p w14:paraId="60FF3189" w14:textId="0B3CF5AC" w:rsidR="00B131C0" w:rsidRDefault="00B131C0" w:rsidP="00E41100">
      <w:pPr>
        <w:pStyle w:val="EEREBodyText"/>
      </w:pPr>
      <w:r>
        <w:t xml:space="preserve">Some utilities may have specific requirements for the proposed DE system. </w:t>
      </w:r>
      <w:r w:rsidRPr="00B131C0">
        <w:t xml:space="preserve">For example, </w:t>
      </w:r>
      <w:r>
        <w:t xml:space="preserve">utilities in California have specific smart inverter requirements for solar PV systems. For planning purposes, </w:t>
      </w:r>
      <w:r w:rsidRPr="00B131C0">
        <w:t xml:space="preserve">utilities sometimes require space, cooling, and power for </w:t>
      </w:r>
      <w:r>
        <w:t xml:space="preserve">utility </w:t>
      </w:r>
      <w:r w:rsidRPr="00B131C0">
        <w:t>equipment</w:t>
      </w:r>
      <w:r>
        <w:t xml:space="preserve"> as well</w:t>
      </w:r>
      <w:r w:rsidRPr="00B131C0">
        <w:t xml:space="preserve">. </w:t>
      </w:r>
    </w:p>
    <w:p w14:paraId="3CA98A3F" w14:textId="77777777" w:rsidR="00957A5C" w:rsidRPr="00B131C0" w:rsidRDefault="00957A5C" w:rsidP="00E41100">
      <w:pPr>
        <w:pStyle w:val="EEREBodyText"/>
      </w:pPr>
    </w:p>
    <w:p w14:paraId="5D260A64" w14:textId="3F249187" w:rsidR="007A7440" w:rsidRPr="00E41100" w:rsidRDefault="002B5EF5" w:rsidP="00A62E7F">
      <w:pPr>
        <w:pStyle w:val="Style1"/>
        <w:spacing w:before="0" w:after="120"/>
        <w:rPr>
          <w:rFonts w:ascii="Franklin Gothic Book" w:hAnsi="Franklin Gothic Book"/>
        </w:rPr>
      </w:pPr>
      <w:sdt>
        <w:sdtPr>
          <w:rPr>
            <w:rFonts w:ascii="Franklin Gothic Book" w:hAnsi="Franklin Gothic Book"/>
          </w:rPr>
          <w:id w:val="239076559"/>
          <w15:appearance w15:val="hidden"/>
          <w14:checkbox>
            <w14:checked w14:val="0"/>
            <w14:checkedState w14:val="2612" w14:font="MS Gothic"/>
            <w14:uncheckedState w14:val="2610" w14:font="MS Gothic"/>
          </w14:checkbox>
        </w:sdtPr>
        <w:sdtEndPr/>
        <w:sdtContent>
          <w:r w:rsidR="007A7440" w:rsidRPr="00E41100">
            <w:rPr>
              <w:rFonts w:ascii="Segoe UI Symbol" w:eastAsia="MS Gothic" w:hAnsi="Segoe UI Symbol" w:cs="Segoe UI Symbol"/>
            </w:rPr>
            <w:t>☐</w:t>
          </w:r>
        </w:sdtContent>
      </w:sdt>
      <w:r w:rsidR="007A7440" w:rsidRPr="00E41100">
        <w:rPr>
          <w:rFonts w:ascii="Franklin Gothic Book" w:hAnsi="Franklin Gothic Book"/>
        </w:rPr>
        <w:t xml:space="preserve"> </w:t>
      </w:r>
      <w:r w:rsidR="00113819" w:rsidRPr="00E41100">
        <w:rPr>
          <w:rFonts w:ascii="Franklin Gothic Book" w:hAnsi="Franklin Gothic Book"/>
        </w:rPr>
        <w:t>Before construction, c</w:t>
      </w:r>
      <w:r w:rsidR="00774780" w:rsidRPr="00E41100">
        <w:rPr>
          <w:rFonts w:ascii="Franklin Gothic Book" w:hAnsi="Franklin Gothic Book"/>
        </w:rPr>
        <w:t xml:space="preserve">onfirm the </w:t>
      </w:r>
      <w:r w:rsidR="007A7440" w:rsidRPr="00E41100">
        <w:rPr>
          <w:rFonts w:ascii="Franklin Gothic Book" w:hAnsi="Franklin Gothic Book"/>
        </w:rPr>
        <w:t>project design meet</w:t>
      </w:r>
      <w:r w:rsidR="00774780" w:rsidRPr="00E41100">
        <w:rPr>
          <w:rFonts w:ascii="Franklin Gothic Book" w:hAnsi="Franklin Gothic Book"/>
        </w:rPr>
        <w:t>s</w:t>
      </w:r>
      <w:r w:rsidR="007A7440" w:rsidRPr="00E41100">
        <w:rPr>
          <w:rFonts w:ascii="Franklin Gothic Book" w:hAnsi="Franklin Gothic Book"/>
        </w:rPr>
        <w:t xml:space="preserve"> all utility interconnection requirements</w:t>
      </w:r>
      <w:r w:rsidR="00774780" w:rsidRPr="00E41100">
        <w:rPr>
          <w:rFonts w:ascii="Franklin Gothic Book" w:hAnsi="Franklin Gothic Book"/>
        </w:rPr>
        <w:t>.</w:t>
      </w:r>
    </w:p>
    <w:p w14:paraId="3DBEC980" w14:textId="6F1EBBC4" w:rsidR="00664EC7" w:rsidRDefault="00831D89" w:rsidP="00E41100">
      <w:pPr>
        <w:pStyle w:val="EEREBodyText"/>
      </w:pPr>
      <w:r w:rsidRPr="007C1CD8">
        <w:t xml:space="preserve">Carefully review the interconnection agreement and discuss with the utility to ensure that you have complied with all utility requirements prior construction. </w:t>
      </w:r>
    </w:p>
    <w:p w14:paraId="09164AD1" w14:textId="77777777" w:rsidR="00957A5C" w:rsidRPr="007C1CD8" w:rsidRDefault="00957A5C" w:rsidP="00E41100">
      <w:pPr>
        <w:pStyle w:val="EEREBodyText"/>
      </w:pPr>
    </w:p>
    <w:p w14:paraId="28F79996" w14:textId="455695CD" w:rsidR="00E7126C" w:rsidRPr="00E41100" w:rsidRDefault="00361343" w:rsidP="00A62E7F">
      <w:pPr>
        <w:pStyle w:val="Style1"/>
        <w:spacing w:before="0" w:after="120"/>
        <w:rPr>
          <w:rFonts w:ascii="Franklin Gothic Book" w:hAnsi="Franklin Gothic Book"/>
          <w:b/>
          <w:bCs/>
        </w:rPr>
      </w:pPr>
      <w:r w:rsidRPr="00E41100">
        <w:rPr>
          <w:rFonts w:ascii="Franklin Gothic Book" w:hAnsi="Franklin Gothic Book"/>
          <w:b/>
          <w:bCs/>
        </w:rPr>
        <w:lastRenderedPageBreak/>
        <w:t>Site</w:t>
      </w:r>
      <w:r w:rsidR="00E7126C" w:rsidRPr="00E41100">
        <w:rPr>
          <w:rFonts w:ascii="Franklin Gothic Book" w:hAnsi="Franklin Gothic Book"/>
          <w:b/>
          <w:bCs/>
        </w:rPr>
        <w:t xml:space="preserve"> </w:t>
      </w:r>
      <w:r w:rsidR="00D60B86" w:rsidRPr="00E41100">
        <w:rPr>
          <w:rFonts w:ascii="Franklin Gothic Book" w:hAnsi="Franklin Gothic Book"/>
          <w:b/>
          <w:bCs/>
        </w:rPr>
        <w:t xml:space="preserve">Electric </w:t>
      </w:r>
      <w:r w:rsidR="00E7126C" w:rsidRPr="00E41100">
        <w:rPr>
          <w:rFonts w:ascii="Franklin Gothic Book" w:hAnsi="Franklin Gothic Book"/>
          <w:b/>
          <w:bCs/>
        </w:rPr>
        <w:t>Distribution System</w:t>
      </w:r>
    </w:p>
    <w:p w14:paraId="3DCBD7E0" w14:textId="6B92AB96" w:rsidR="00E7126C" w:rsidRPr="007C1CD8" w:rsidRDefault="002B5EF5" w:rsidP="00A62E7F">
      <w:pPr>
        <w:pStyle w:val="Style1"/>
        <w:spacing w:before="0" w:after="120"/>
      </w:pPr>
      <w:sdt>
        <w:sdtPr>
          <w:rPr>
            <w:rFonts w:ascii="Franklin Gothic Book" w:hAnsi="Franklin Gothic Book"/>
          </w:rPr>
          <w:id w:val="1005869411"/>
          <w15:appearance w15:val="hidden"/>
          <w14:checkbox>
            <w14:checked w14:val="0"/>
            <w14:checkedState w14:val="2612" w14:font="MS Gothic"/>
            <w14:uncheckedState w14:val="2610" w14:font="MS Gothic"/>
          </w14:checkbox>
        </w:sdtPr>
        <w:sdtEndPr/>
        <w:sdtContent>
          <w:r w:rsidR="00E7126C" w:rsidRPr="00E41100">
            <w:rPr>
              <w:rFonts w:ascii="Segoe UI Symbol" w:eastAsia="MS Gothic" w:hAnsi="Segoe UI Symbol" w:cs="Segoe UI Symbol"/>
            </w:rPr>
            <w:t>☐</w:t>
          </w:r>
        </w:sdtContent>
      </w:sdt>
      <w:r w:rsidR="00E7126C" w:rsidRPr="00E41100">
        <w:rPr>
          <w:rFonts w:ascii="Franklin Gothic Book" w:hAnsi="Franklin Gothic Book"/>
        </w:rPr>
        <w:t xml:space="preserve"> Discuss project with distribution system owner</w:t>
      </w:r>
      <w:r w:rsidR="009D105F" w:rsidRPr="00E41100">
        <w:rPr>
          <w:rFonts w:ascii="Franklin Gothic Book" w:hAnsi="Franklin Gothic Book"/>
        </w:rPr>
        <w:t xml:space="preserve"> </w:t>
      </w:r>
      <w:r w:rsidR="00E7126C" w:rsidRPr="00E41100">
        <w:rPr>
          <w:rFonts w:ascii="Franklin Gothic Book" w:hAnsi="Franklin Gothic Book"/>
        </w:rPr>
        <w:t>and identify any potential contractual or other barriers to interconnection.</w:t>
      </w:r>
      <w:r w:rsidR="00721010" w:rsidRPr="00E41100">
        <w:rPr>
          <w:rFonts w:ascii="Franklin Gothic Book" w:hAnsi="Franklin Gothic Book"/>
        </w:rPr>
        <w:t xml:space="preserve"> Review utility privatization contract if applicable (Dep</w:t>
      </w:r>
      <w:r w:rsidR="00121B34" w:rsidRPr="00E41100">
        <w:rPr>
          <w:rFonts w:ascii="Franklin Gothic Book" w:hAnsi="Franklin Gothic Book"/>
        </w:rPr>
        <w:t>artmen</w:t>
      </w:r>
      <w:r w:rsidR="00721010" w:rsidRPr="00E41100">
        <w:rPr>
          <w:rFonts w:ascii="Franklin Gothic Book" w:hAnsi="Franklin Gothic Book"/>
        </w:rPr>
        <w:t>t of Defense)</w:t>
      </w:r>
      <w:r w:rsidR="00121B34" w:rsidRPr="00E41100">
        <w:rPr>
          <w:rFonts w:ascii="Franklin Gothic Book" w:hAnsi="Franklin Gothic Book"/>
        </w:rPr>
        <w:t>.</w:t>
      </w:r>
    </w:p>
    <w:p w14:paraId="404BA9CA" w14:textId="3F160ACE" w:rsidR="00721010" w:rsidRDefault="00E7126C" w:rsidP="00E41100">
      <w:pPr>
        <w:pStyle w:val="EEREBodyText"/>
      </w:pPr>
      <w:r w:rsidRPr="007C1CD8">
        <w:t xml:space="preserve">Some agencies may </w:t>
      </w:r>
      <w:r w:rsidR="00D60B86" w:rsidRPr="007C1CD8">
        <w:t xml:space="preserve">have a contract with </w:t>
      </w:r>
      <w:r w:rsidRPr="007C1CD8">
        <w:t xml:space="preserve">a third-party to own and maintain their </w:t>
      </w:r>
      <w:r w:rsidR="00D60B86" w:rsidRPr="007C1CD8">
        <w:t>site</w:t>
      </w:r>
      <w:r w:rsidR="00831D89" w:rsidRPr="007C1CD8">
        <w:t>’s</w:t>
      </w:r>
      <w:r w:rsidR="00D60B86" w:rsidRPr="007C1CD8">
        <w:t xml:space="preserve"> electricity distribution </w:t>
      </w:r>
      <w:r w:rsidRPr="007C1CD8">
        <w:t xml:space="preserve">system. </w:t>
      </w:r>
      <w:r w:rsidR="00721010">
        <w:t>At Dep</w:t>
      </w:r>
      <w:r w:rsidR="00121B34">
        <w:t>artmen</w:t>
      </w:r>
      <w:r w:rsidR="00721010">
        <w:t>t of Defense</w:t>
      </w:r>
      <w:r w:rsidR="00121B34">
        <w:t xml:space="preserve"> (DoD)</w:t>
      </w:r>
      <w:r w:rsidR="00721010">
        <w:t xml:space="preserve"> sites, this can take the form of a Utility Privatization contract. </w:t>
      </w:r>
      <w:r w:rsidR="00721010" w:rsidRPr="007C1CD8">
        <w:t>Utility Privatization (UP) traditionally involves a third-party taking ownership and responsibility for the operation and maintenance of an installation’s electrical distribution system. The UP provider can be a site’s serving utility, or another eligible utility that has a long-term contract with the D</w:t>
      </w:r>
      <w:r w:rsidR="00121B34">
        <w:t>o</w:t>
      </w:r>
      <w:r w:rsidR="00721010" w:rsidRPr="007C1CD8">
        <w:t>D service. The contract should be reviewed to fully understand any restrictions or limitations for DE projects.</w:t>
      </w:r>
      <w:r w:rsidR="00721010">
        <w:t xml:space="preserve"> </w:t>
      </w:r>
    </w:p>
    <w:p w14:paraId="260D3305" w14:textId="3740DAAA" w:rsidR="00E7126C" w:rsidRDefault="00E7126C" w:rsidP="00664EC7">
      <w:pPr>
        <w:pStyle w:val="EEREBodyText"/>
      </w:pPr>
      <w:r w:rsidRPr="007C1CD8">
        <w:t xml:space="preserve">If a third-party is responsible for the site’s distribution system, discuss the proposed project with them early on. They may be able to identify </w:t>
      </w:r>
      <w:r w:rsidR="00165DD3">
        <w:t>locations</w:t>
      </w:r>
      <w:r w:rsidRPr="007C1CD8">
        <w:t xml:space="preserve"> that would be problematic for interconnection and potential interconnection upgrade costs that could inform the project </w:t>
      </w:r>
      <w:r w:rsidR="00A62E7F" w:rsidRPr="007C1CD8">
        <w:t xml:space="preserve">size and </w:t>
      </w:r>
      <w:r w:rsidRPr="007C1CD8">
        <w:t xml:space="preserve">design. </w:t>
      </w:r>
      <w:r w:rsidR="00831D89" w:rsidRPr="007C1CD8">
        <w:t>The</w:t>
      </w:r>
      <w:r w:rsidRPr="007C1CD8">
        <w:t xml:space="preserve"> third party </w:t>
      </w:r>
      <w:r w:rsidR="00831D89" w:rsidRPr="007C1CD8">
        <w:t xml:space="preserve">distribution system owner </w:t>
      </w:r>
      <w:r w:rsidRPr="007C1CD8">
        <w:t>should also be a key stakeholder in the DE project’s development</w:t>
      </w:r>
      <w:r w:rsidR="009D105F" w:rsidRPr="007C1CD8">
        <w:t xml:space="preserve"> and be invited to participate in discussions with the utility</w:t>
      </w:r>
      <w:r w:rsidR="00165DD3">
        <w:t xml:space="preserve"> that provides power to the site</w:t>
      </w:r>
      <w:r w:rsidRPr="007C1CD8">
        <w:t>.</w:t>
      </w:r>
    </w:p>
    <w:p w14:paraId="4E118213" w14:textId="77777777" w:rsidR="00957A5C" w:rsidRPr="007C1CD8" w:rsidRDefault="00957A5C" w:rsidP="00664EC7">
      <w:pPr>
        <w:pStyle w:val="EEREBodyText"/>
      </w:pPr>
    </w:p>
    <w:p w14:paraId="636AFB1D" w14:textId="6473B614" w:rsidR="00E7126C" w:rsidRPr="007C1CD8" w:rsidRDefault="002B5EF5" w:rsidP="00A62E7F">
      <w:pPr>
        <w:pStyle w:val="Style1"/>
        <w:spacing w:before="0" w:after="120"/>
      </w:pPr>
      <w:sdt>
        <w:sdtPr>
          <w:rPr>
            <w:rFonts w:ascii="Franklin Gothic Book" w:hAnsi="Franklin Gothic Book"/>
          </w:rPr>
          <w:id w:val="-2035800036"/>
          <w15:appearance w15:val="hidden"/>
          <w14:checkbox>
            <w14:checked w14:val="0"/>
            <w14:checkedState w14:val="2612" w14:font="MS Gothic"/>
            <w14:uncheckedState w14:val="2610" w14:font="MS Gothic"/>
          </w14:checkbox>
        </w:sdtPr>
        <w:sdtEndPr/>
        <w:sdtContent>
          <w:r w:rsidR="00E7126C" w:rsidRPr="00664EC7">
            <w:rPr>
              <w:rFonts w:ascii="Segoe UI Symbol" w:eastAsia="MS Gothic" w:hAnsi="Segoe UI Symbol" w:cs="Segoe UI Symbol"/>
            </w:rPr>
            <w:t>☐</w:t>
          </w:r>
        </w:sdtContent>
      </w:sdt>
      <w:r w:rsidR="00E7126C" w:rsidRPr="00664EC7">
        <w:rPr>
          <w:rFonts w:ascii="Franklin Gothic Book" w:hAnsi="Franklin Gothic Book"/>
        </w:rPr>
        <w:t xml:space="preserve"> Discuss proposed project with </w:t>
      </w:r>
      <w:r w:rsidR="009D105F" w:rsidRPr="00664EC7">
        <w:rPr>
          <w:rFonts w:ascii="Franklin Gothic Book" w:hAnsi="Franklin Gothic Book"/>
        </w:rPr>
        <w:t xml:space="preserve">facilities staff </w:t>
      </w:r>
      <w:r w:rsidR="00E7126C" w:rsidRPr="00664EC7">
        <w:rPr>
          <w:rFonts w:ascii="Franklin Gothic Book" w:hAnsi="Franklin Gothic Book"/>
        </w:rPr>
        <w:t xml:space="preserve">(from agency or </w:t>
      </w:r>
      <w:r w:rsidR="009D105F" w:rsidRPr="00664EC7">
        <w:rPr>
          <w:rFonts w:ascii="Franklin Gothic Book" w:hAnsi="Franklin Gothic Book"/>
        </w:rPr>
        <w:t xml:space="preserve">third-party </w:t>
      </w:r>
      <w:r w:rsidR="00E7126C" w:rsidRPr="00664EC7">
        <w:rPr>
          <w:rFonts w:ascii="Franklin Gothic Book" w:hAnsi="Franklin Gothic Book"/>
        </w:rPr>
        <w:t>owner) familiar with the site distribution system.</w:t>
      </w:r>
    </w:p>
    <w:p w14:paraId="1A307F7F" w14:textId="10B7F656" w:rsidR="00E7126C" w:rsidRDefault="00E7126C" w:rsidP="00664EC7">
      <w:pPr>
        <w:pStyle w:val="EEREBodyText"/>
      </w:pPr>
      <w:r w:rsidRPr="007C1CD8">
        <w:t xml:space="preserve">Some topics for discussion with the </w:t>
      </w:r>
      <w:r w:rsidR="009D105F" w:rsidRPr="007C1CD8">
        <w:t xml:space="preserve">facilities staff </w:t>
      </w:r>
      <w:r w:rsidRPr="007C1CD8">
        <w:t xml:space="preserve">include: </w:t>
      </w:r>
      <w:r w:rsidR="00A62E7F" w:rsidRPr="007C1CD8">
        <w:t xml:space="preserve">distribution study recommendations (if any), </w:t>
      </w:r>
      <w:r w:rsidRPr="007C1CD8">
        <w:t>POCC, any line capacity limitations, main panel limitations (for building-connected systems)</w:t>
      </w:r>
      <w:r w:rsidR="009D105F" w:rsidRPr="007C1CD8">
        <w:t>, staff expertise and availability for maintenance. Determine who will be responsible for the cost and implementation of site distribution system upgrades (agency or third-party), if applicable.</w:t>
      </w:r>
    </w:p>
    <w:p w14:paraId="7C71F623" w14:textId="77777777" w:rsidR="00957A5C" w:rsidRPr="007C1CD8" w:rsidRDefault="00957A5C" w:rsidP="00664EC7">
      <w:pPr>
        <w:pStyle w:val="EEREBodyText"/>
      </w:pPr>
    </w:p>
    <w:p w14:paraId="5197FD8F" w14:textId="77777777" w:rsidR="00E7126C" w:rsidRPr="007C1CD8" w:rsidRDefault="002B5EF5" w:rsidP="00A62E7F">
      <w:pPr>
        <w:pStyle w:val="Style1"/>
        <w:spacing w:before="0" w:after="120"/>
      </w:pPr>
      <w:sdt>
        <w:sdtPr>
          <w:rPr>
            <w:rFonts w:ascii="Franklin Gothic Book" w:hAnsi="Franklin Gothic Book"/>
          </w:rPr>
          <w:id w:val="717865105"/>
          <w15:appearance w15:val="hidden"/>
          <w14:checkbox>
            <w14:checked w14:val="0"/>
            <w14:checkedState w14:val="2612" w14:font="MS Gothic"/>
            <w14:uncheckedState w14:val="2610" w14:font="MS Gothic"/>
          </w14:checkbox>
        </w:sdtPr>
        <w:sdtEndPr/>
        <w:sdtContent>
          <w:r w:rsidR="00E7126C" w:rsidRPr="00664EC7">
            <w:rPr>
              <w:rFonts w:ascii="Segoe UI Symbol" w:eastAsia="MS Gothic" w:hAnsi="Segoe UI Symbol" w:cs="Segoe UI Symbol"/>
            </w:rPr>
            <w:t>☐</w:t>
          </w:r>
        </w:sdtContent>
      </w:sdt>
      <w:r w:rsidR="00E7126C" w:rsidRPr="00664EC7">
        <w:rPr>
          <w:rFonts w:ascii="Franklin Gothic Book" w:hAnsi="Franklin Gothic Book"/>
        </w:rPr>
        <w:t xml:space="preserve"> Conduct site distribution system studies if deemed necessary.</w:t>
      </w:r>
    </w:p>
    <w:p w14:paraId="17A8DBBA" w14:textId="320986D2" w:rsidR="00664EC7" w:rsidRDefault="00E7126C" w:rsidP="00664EC7">
      <w:pPr>
        <w:pStyle w:val="EEREBodyText"/>
      </w:pPr>
      <w:r w:rsidRPr="00664EC7">
        <w:t>Some studies that may be required</w:t>
      </w:r>
      <w:r w:rsidR="00F05BE0" w:rsidRPr="00664EC7">
        <w:t>, depending on project size,</w:t>
      </w:r>
      <w:r w:rsidRPr="00664EC7">
        <w:t xml:space="preserve"> include:</w:t>
      </w:r>
      <w:r w:rsidR="009D105F" w:rsidRPr="00664EC7">
        <w:t xml:space="preserve"> </w:t>
      </w:r>
      <w:r w:rsidR="00356B65" w:rsidRPr="00664EC7">
        <w:t>load flow study, fault study, coordination study and arc flash hazard study.</w:t>
      </w:r>
    </w:p>
    <w:p w14:paraId="3285EAC6" w14:textId="77777777" w:rsidR="00957A5C" w:rsidRDefault="00957A5C" w:rsidP="00664EC7">
      <w:pPr>
        <w:pStyle w:val="EEREBodyText"/>
      </w:pPr>
    </w:p>
    <w:p w14:paraId="253C45DB" w14:textId="1450A1E0" w:rsidR="00664EC7" w:rsidRDefault="00664EC7" w:rsidP="00664EC7">
      <w:pPr>
        <w:pStyle w:val="EEREBodyText"/>
      </w:pPr>
    </w:p>
    <w:p w14:paraId="745ED481" w14:textId="750B59A9" w:rsidR="00664EC7" w:rsidRDefault="00664EC7" w:rsidP="00664EC7">
      <w:pPr>
        <w:pStyle w:val="EEREBodyText"/>
      </w:pPr>
    </w:p>
    <w:p w14:paraId="4F7BB1E3" w14:textId="77777777" w:rsidR="00664EC7" w:rsidRPr="00664EC7" w:rsidRDefault="00664EC7" w:rsidP="00664EC7">
      <w:pPr>
        <w:pStyle w:val="EEREBodyText"/>
      </w:pPr>
    </w:p>
    <w:p w14:paraId="506BBF72" w14:textId="3A46C754" w:rsidR="006C763A" w:rsidRPr="00A8554C" w:rsidRDefault="006927BD" w:rsidP="00023753">
      <w:pPr>
        <w:pStyle w:val="Heading1"/>
        <w:pBdr>
          <w:top w:val="single" w:sz="18" w:space="1" w:color="C3C8C8"/>
        </w:pBdr>
        <w:spacing w:before="0" w:after="120"/>
        <w:rPr>
          <w:rFonts w:ascii="Franklin Gothic Medium" w:hAnsi="Franklin Gothic Medium"/>
          <w:b w:val="0"/>
          <w:bCs/>
          <w:color w:val="5E6A71"/>
        </w:rPr>
      </w:pPr>
      <w:r w:rsidRPr="00A8554C">
        <w:rPr>
          <w:rFonts w:ascii="Franklin Gothic Medium" w:hAnsi="Franklin Gothic Medium"/>
          <w:b w:val="0"/>
          <w:bCs/>
          <w:color w:val="5E6A71"/>
        </w:rPr>
        <w:lastRenderedPageBreak/>
        <w:t xml:space="preserve">Interconnection </w:t>
      </w:r>
      <w:r w:rsidR="0068767F" w:rsidRPr="00A8554C">
        <w:rPr>
          <w:rFonts w:ascii="Franklin Gothic Medium" w:hAnsi="Franklin Gothic Medium"/>
          <w:b w:val="0"/>
          <w:bCs/>
          <w:color w:val="5E6A71"/>
        </w:rPr>
        <w:t>Application</w:t>
      </w:r>
      <w:r w:rsidR="00536BB0" w:rsidRPr="00A8554C">
        <w:rPr>
          <w:rFonts w:ascii="Franklin Gothic Medium" w:hAnsi="Franklin Gothic Medium"/>
          <w:b w:val="0"/>
          <w:bCs/>
          <w:color w:val="5E6A71"/>
        </w:rPr>
        <w:t xml:space="preserve"> </w:t>
      </w:r>
      <w:r w:rsidR="00A8554C" w:rsidRPr="00A8554C">
        <w:rPr>
          <w:rFonts w:ascii="Franklin Gothic Medium" w:hAnsi="Franklin Gothic Medium"/>
          <w:b w:val="0"/>
          <w:bCs/>
          <w:color w:val="5E6A71"/>
        </w:rPr>
        <w:t>and</w:t>
      </w:r>
      <w:r w:rsidR="00536BB0" w:rsidRPr="00A8554C">
        <w:rPr>
          <w:rFonts w:ascii="Franklin Gothic Medium" w:hAnsi="Franklin Gothic Medium"/>
          <w:b w:val="0"/>
          <w:bCs/>
          <w:color w:val="5E6A71"/>
        </w:rPr>
        <w:t xml:space="preserve"> Study Process</w:t>
      </w:r>
    </w:p>
    <w:p w14:paraId="3399704F" w14:textId="3B0B5064" w:rsidR="00F05BE0" w:rsidRPr="00664EC7" w:rsidRDefault="002B5EF5" w:rsidP="00F05BE0">
      <w:pPr>
        <w:pStyle w:val="Style1"/>
        <w:spacing w:before="0" w:after="120"/>
        <w:rPr>
          <w:rFonts w:ascii="Franklin Gothic Book" w:hAnsi="Franklin Gothic Book"/>
        </w:rPr>
      </w:pPr>
      <w:sdt>
        <w:sdtPr>
          <w:rPr>
            <w:rFonts w:ascii="Franklin Gothic Book" w:hAnsi="Franklin Gothic Book"/>
          </w:rPr>
          <w:id w:val="809598582"/>
          <w15:appearance w15:val="hidden"/>
          <w14:checkbox>
            <w14:checked w14:val="0"/>
            <w14:checkedState w14:val="2612" w14:font="MS Gothic"/>
            <w14:uncheckedState w14:val="2610" w14:font="MS Gothic"/>
          </w14:checkbox>
        </w:sdtPr>
        <w:sdtEndPr/>
        <w:sdtContent>
          <w:r w:rsidR="00F05BE0" w:rsidRPr="00664EC7">
            <w:rPr>
              <w:rFonts w:ascii="Segoe UI Symbol" w:eastAsia="MS Gothic" w:hAnsi="Segoe UI Symbol" w:cs="Segoe UI Symbol"/>
            </w:rPr>
            <w:t>☐</w:t>
          </w:r>
        </w:sdtContent>
      </w:sdt>
      <w:r w:rsidR="00F05BE0" w:rsidRPr="00664EC7">
        <w:rPr>
          <w:rFonts w:ascii="Franklin Gothic Book" w:hAnsi="Franklin Gothic Book"/>
        </w:rPr>
        <w:t xml:space="preserve"> Clarify roles and responsibilities and ensure close communication between </w:t>
      </w:r>
      <w:r w:rsidR="00261BC8" w:rsidRPr="00664EC7">
        <w:rPr>
          <w:rFonts w:ascii="Franklin Gothic Book" w:hAnsi="Franklin Gothic Book"/>
        </w:rPr>
        <w:t xml:space="preserve">the </w:t>
      </w:r>
      <w:r w:rsidR="00F05BE0" w:rsidRPr="00664EC7">
        <w:rPr>
          <w:rFonts w:ascii="Franklin Gothic Book" w:hAnsi="Franklin Gothic Book"/>
        </w:rPr>
        <w:t xml:space="preserve">agency and contractor. </w:t>
      </w:r>
    </w:p>
    <w:p w14:paraId="20765287" w14:textId="697F278A" w:rsidR="00F05BE0" w:rsidRPr="007C1CD8" w:rsidRDefault="00F05BE0" w:rsidP="00664EC7">
      <w:pPr>
        <w:pStyle w:val="EEREBodyText"/>
      </w:pPr>
      <w:r w:rsidRPr="007C1CD8">
        <w:t xml:space="preserve">Designate one (or more) agency staff to be responsible for close coordination with </w:t>
      </w:r>
      <w:r w:rsidR="00261BC8">
        <w:t xml:space="preserve">the </w:t>
      </w:r>
      <w:r w:rsidRPr="007C1CD8">
        <w:t>utility throughout the interconnection:</w:t>
      </w:r>
    </w:p>
    <w:p w14:paraId="7648D7FC" w14:textId="77777777" w:rsidR="00F05BE0" w:rsidRPr="00664EC7" w:rsidRDefault="002B5EF5" w:rsidP="00F05BE0">
      <w:pPr>
        <w:pStyle w:val="Style1"/>
        <w:spacing w:before="0" w:after="120"/>
        <w:ind w:left="720"/>
        <w:outlineLvl w:val="9"/>
        <w:rPr>
          <w:rFonts w:asciiTheme="minorHAnsi" w:hAnsiTheme="minorHAnsi" w:cstheme="minorHAnsi"/>
        </w:rPr>
      </w:pPr>
      <w:sdt>
        <w:sdtPr>
          <w:rPr>
            <w:rFonts w:asciiTheme="minorHAnsi" w:hAnsiTheme="minorHAnsi" w:cstheme="minorHAnsi"/>
          </w:rPr>
          <w:id w:val="-593475972"/>
          <w15:appearance w15:val="hidden"/>
          <w14:checkbox>
            <w14:checked w14:val="0"/>
            <w14:checkedState w14:val="2612" w14:font="MS Gothic"/>
            <w14:uncheckedState w14:val="2610" w14:font="MS Gothic"/>
          </w14:checkbox>
        </w:sdtPr>
        <w:sdtEndPr/>
        <w:sdtContent>
          <w:r w:rsidR="00F05BE0" w:rsidRPr="00664EC7">
            <w:rPr>
              <w:rFonts w:ascii="Segoe UI Symbol" w:eastAsia="MS Gothic" w:hAnsi="Segoe UI Symbol" w:cs="Segoe UI Symbol"/>
            </w:rPr>
            <w:t>☐</w:t>
          </w:r>
        </w:sdtContent>
      </w:sdt>
      <w:r w:rsidR="00F05BE0" w:rsidRPr="00664EC7">
        <w:rPr>
          <w:rFonts w:asciiTheme="minorHAnsi" w:hAnsiTheme="minorHAnsi" w:cstheme="minorHAnsi"/>
        </w:rPr>
        <w:t xml:space="preserve"> Interconnection application</w:t>
      </w:r>
    </w:p>
    <w:p w14:paraId="6392E1AB" w14:textId="77777777" w:rsidR="00F05BE0" w:rsidRPr="00664EC7" w:rsidRDefault="002B5EF5" w:rsidP="00F05BE0">
      <w:pPr>
        <w:pStyle w:val="Style1"/>
        <w:spacing w:before="0" w:after="120"/>
        <w:ind w:left="720"/>
        <w:outlineLvl w:val="9"/>
        <w:rPr>
          <w:rFonts w:asciiTheme="minorHAnsi" w:hAnsiTheme="minorHAnsi" w:cstheme="minorHAnsi"/>
        </w:rPr>
      </w:pPr>
      <w:sdt>
        <w:sdtPr>
          <w:rPr>
            <w:rFonts w:asciiTheme="minorHAnsi" w:hAnsiTheme="minorHAnsi" w:cstheme="minorHAnsi"/>
          </w:rPr>
          <w:id w:val="1423454720"/>
          <w15:appearance w15:val="hidden"/>
          <w14:checkbox>
            <w14:checked w14:val="0"/>
            <w14:checkedState w14:val="2612" w14:font="MS Gothic"/>
            <w14:uncheckedState w14:val="2610" w14:font="MS Gothic"/>
          </w14:checkbox>
        </w:sdtPr>
        <w:sdtEndPr/>
        <w:sdtContent>
          <w:r w:rsidR="00F05BE0" w:rsidRPr="00664EC7">
            <w:rPr>
              <w:rFonts w:ascii="Segoe UI Symbol" w:eastAsia="MS Gothic" w:hAnsi="Segoe UI Symbol" w:cs="Segoe UI Symbol"/>
            </w:rPr>
            <w:t>☐</w:t>
          </w:r>
        </w:sdtContent>
      </w:sdt>
      <w:r w:rsidR="00F05BE0" w:rsidRPr="00664EC7">
        <w:rPr>
          <w:rFonts w:asciiTheme="minorHAnsi" w:hAnsiTheme="minorHAnsi" w:cstheme="minorHAnsi"/>
        </w:rPr>
        <w:t xml:space="preserve"> Responsibility for application, study, and upgrade costs </w:t>
      </w:r>
    </w:p>
    <w:p w14:paraId="14E85888" w14:textId="77777777" w:rsidR="00F05BE0" w:rsidRPr="00664EC7" w:rsidRDefault="002B5EF5" w:rsidP="00F05BE0">
      <w:pPr>
        <w:pStyle w:val="Style1"/>
        <w:spacing w:before="0" w:after="120"/>
        <w:ind w:left="720"/>
        <w:outlineLvl w:val="9"/>
        <w:rPr>
          <w:rFonts w:asciiTheme="minorHAnsi" w:hAnsiTheme="minorHAnsi" w:cstheme="minorHAnsi"/>
        </w:rPr>
      </w:pPr>
      <w:sdt>
        <w:sdtPr>
          <w:rPr>
            <w:rFonts w:asciiTheme="minorHAnsi" w:hAnsiTheme="minorHAnsi" w:cstheme="minorHAnsi"/>
          </w:rPr>
          <w:id w:val="1789164664"/>
          <w15:appearance w15:val="hidden"/>
          <w14:checkbox>
            <w14:checked w14:val="0"/>
            <w14:checkedState w14:val="2612" w14:font="MS Gothic"/>
            <w14:uncheckedState w14:val="2610" w14:font="MS Gothic"/>
          </w14:checkbox>
        </w:sdtPr>
        <w:sdtEndPr/>
        <w:sdtContent>
          <w:r w:rsidR="00F05BE0" w:rsidRPr="00664EC7">
            <w:rPr>
              <w:rFonts w:ascii="Segoe UI Symbol" w:eastAsia="MS Gothic" w:hAnsi="Segoe UI Symbol" w:cs="Segoe UI Symbol"/>
            </w:rPr>
            <w:t>☐</w:t>
          </w:r>
        </w:sdtContent>
      </w:sdt>
      <w:r w:rsidR="00F05BE0" w:rsidRPr="00664EC7">
        <w:rPr>
          <w:rFonts w:asciiTheme="minorHAnsi" w:hAnsiTheme="minorHAnsi" w:cstheme="minorHAnsi"/>
        </w:rPr>
        <w:t xml:space="preserve"> Study process </w:t>
      </w:r>
    </w:p>
    <w:p w14:paraId="3099131A" w14:textId="77777777" w:rsidR="00F05BE0" w:rsidRPr="00664EC7" w:rsidRDefault="002B5EF5" w:rsidP="00F05BE0">
      <w:pPr>
        <w:pStyle w:val="Style1"/>
        <w:spacing w:before="0" w:after="120"/>
        <w:ind w:left="720"/>
        <w:outlineLvl w:val="9"/>
        <w:rPr>
          <w:rFonts w:asciiTheme="minorHAnsi" w:hAnsiTheme="minorHAnsi" w:cstheme="minorHAnsi"/>
        </w:rPr>
      </w:pPr>
      <w:sdt>
        <w:sdtPr>
          <w:rPr>
            <w:rFonts w:asciiTheme="minorHAnsi" w:hAnsiTheme="minorHAnsi" w:cstheme="minorHAnsi"/>
          </w:rPr>
          <w:id w:val="1868638151"/>
          <w15:appearance w15:val="hidden"/>
          <w14:checkbox>
            <w14:checked w14:val="0"/>
            <w14:checkedState w14:val="2612" w14:font="MS Gothic"/>
            <w14:uncheckedState w14:val="2610" w14:font="MS Gothic"/>
          </w14:checkbox>
        </w:sdtPr>
        <w:sdtEndPr/>
        <w:sdtContent>
          <w:r w:rsidR="00F05BE0" w:rsidRPr="00664EC7">
            <w:rPr>
              <w:rFonts w:ascii="Segoe UI Symbol" w:eastAsia="MS Gothic" w:hAnsi="Segoe UI Symbol" w:cs="Segoe UI Symbol"/>
            </w:rPr>
            <w:t>☐</w:t>
          </w:r>
        </w:sdtContent>
      </w:sdt>
      <w:r w:rsidR="00F05BE0" w:rsidRPr="00664EC7">
        <w:rPr>
          <w:rFonts w:asciiTheme="minorHAnsi" w:hAnsiTheme="minorHAnsi" w:cstheme="minorHAnsi"/>
        </w:rPr>
        <w:t xml:space="preserve"> Interconnection upgrades, if necessary</w:t>
      </w:r>
    </w:p>
    <w:p w14:paraId="7B7EA109" w14:textId="568C8884" w:rsidR="00F05BE0" w:rsidRDefault="002B5EF5" w:rsidP="00F05BE0">
      <w:pPr>
        <w:pStyle w:val="Style1"/>
        <w:spacing w:before="0" w:after="120"/>
        <w:ind w:left="720"/>
        <w:outlineLvl w:val="9"/>
        <w:rPr>
          <w:rFonts w:asciiTheme="minorHAnsi" w:hAnsiTheme="minorHAnsi" w:cstheme="minorHAnsi"/>
        </w:rPr>
      </w:pPr>
      <w:sdt>
        <w:sdtPr>
          <w:rPr>
            <w:rFonts w:asciiTheme="minorHAnsi" w:hAnsiTheme="minorHAnsi" w:cstheme="minorHAnsi"/>
          </w:rPr>
          <w:id w:val="1394317891"/>
          <w15:appearance w15:val="hidden"/>
          <w14:checkbox>
            <w14:checked w14:val="0"/>
            <w14:checkedState w14:val="2612" w14:font="MS Gothic"/>
            <w14:uncheckedState w14:val="2610" w14:font="MS Gothic"/>
          </w14:checkbox>
        </w:sdtPr>
        <w:sdtEndPr/>
        <w:sdtContent>
          <w:r w:rsidR="00F05BE0" w:rsidRPr="00664EC7">
            <w:rPr>
              <w:rFonts w:ascii="Segoe UI Symbol" w:eastAsia="MS Gothic" w:hAnsi="Segoe UI Symbol" w:cs="Segoe UI Symbol"/>
            </w:rPr>
            <w:t>☐</w:t>
          </w:r>
        </w:sdtContent>
      </w:sdt>
      <w:r w:rsidR="00F05BE0" w:rsidRPr="00664EC7">
        <w:rPr>
          <w:rFonts w:asciiTheme="minorHAnsi" w:hAnsiTheme="minorHAnsi" w:cstheme="minorHAnsi"/>
        </w:rPr>
        <w:t xml:space="preserve"> If costs are significant, discuss whether the</w:t>
      </w:r>
      <w:r w:rsidR="00261BC8" w:rsidRPr="00664EC7">
        <w:rPr>
          <w:rFonts w:asciiTheme="minorHAnsi" w:hAnsiTheme="minorHAnsi" w:cstheme="minorHAnsi"/>
        </w:rPr>
        <w:t xml:space="preserve"> utilit</w:t>
      </w:r>
      <w:r w:rsidR="00F05BE0" w:rsidRPr="00664EC7">
        <w:rPr>
          <w:rFonts w:asciiTheme="minorHAnsi" w:hAnsiTheme="minorHAnsi" w:cstheme="minorHAnsi"/>
        </w:rPr>
        <w:t xml:space="preserve">y can pay these costs upfront and be </w:t>
      </w:r>
      <w:r w:rsidR="00261BC8" w:rsidRPr="00664EC7">
        <w:rPr>
          <w:rFonts w:asciiTheme="minorHAnsi" w:hAnsiTheme="minorHAnsi" w:cstheme="minorHAnsi"/>
        </w:rPr>
        <w:t>re</w:t>
      </w:r>
      <w:r w:rsidR="00F05BE0" w:rsidRPr="00664EC7">
        <w:rPr>
          <w:rFonts w:asciiTheme="minorHAnsi" w:hAnsiTheme="minorHAnsi" w:cstheme="minorHAnsi"/>
        </w:rPr>
        <w:t xml:space="preserve">paid back </w:t>
      </w:r>
      <w:r w:rsidR="00261BC8" w:rsidRPr="00664EC7">
        <w:rPr>
          <w:rFonts w:asciiTheme="minorHAnsi" w:hAnsiTheme="minorHAnsi" w:cstheme="minorHAnsi"/>
        </w:rPr>
        <w:t>through</w:t>
      </w:r>
      <w:r w:rsidR="00F05BE0" w:rsidRPr="00664EC7">
        <w:rPr>
          <w:rFonts w:asciiTheme="minorHAnsi" w:hAnsiTheme="minorHAnsi" w:cstheme="minorHAnsi"/>
        </w:rPr>
        <w:t xml:space="preserve"> the utility bill over time. </w:t>
      </w:r>
    </w:p>
    <w:p w14:paraId="328FC390" w14:textId="62B4594C" w:rsidR="00F41148" w:rsidRPr="00664EC7" w:rsidRDefault="007520EB" w:rsidP="00A62E7F">
      <w:pPr>
        <w:pStyle w:val="Style1"/>
        <w:spacing w:before="0" w:after="120"/>
        <w:outlineLvl w:val="9"/>
        <w:rPr>
          <w:rFonts w:ascii="Franklin Gothic Book" w:hAnsi="Franklin Gothic Book"/>
        </w:rPr>
      </w:pPr>
      <w:r w:rsidRPr="00664EC7">
        <w:rPr>
          <w:rFonts w:ascii="Franklin Gothic Book" w:hAnsi="Franklin Gothic Book"/>
        </w:rPr>
        <w:t xml:space="preserve">Confirm understanding of the utility’s </w:t>
      </w:r>
      <w:r w:rsidR="007A7440" w:rsidRPr="00664EC7">
        <w:rPr>
          <w:rFonts w:ascii="Franklin Gothic Book" w:hAnsi="Franklin Gothic Book"/>
        </w:rPr>
        <w:t>i</w:t>
      </w:r>
      <w:r w:rsidRPr="00664EC7">
        <w:rPr>
          <w:rFonts w:ascii="Franklin Gothic Book" w:hAnsi="Franklin Gothic Book"/>
        </w:rPr>
        <w:t>nterconnection process</w:t>
      </w:r>
      <w:r w:rsidR="00F41148" w:rsidRPr="00664EC7">
        <w:rPr>
          <w:rFonts w:ascii="Franklin Gothic Book" w:hAnsi="Franklin Gothic Book"/>
        </w:rPr>
        <w:t>:</w:t>
      </w:r>
    </w:p>
    <w:p w14:paraId="04E8B8C9" w14:textId="3A9DC612" w:rsidR="0042178D" w:rsidRPr="00664EC7" w:rsidRDefault="002B5EF5" w:rsidP="00A62E7F">
      <w:pPr>
        <w:pStyle w:val="Style1"/>
        <w:spacing w:before="0" w:after="120"/>
        <w:rPr>
          <w:rFonts w:ascii="Franklin Gothic Book" w:hAnsi="Franklin Gothic Book"/>
        </w:rPr>
      </w:pPr>
      <w:sdt>
        <w:sdtPr>
          <w:rPr>
            <w:rFonts w:ascii="Franklin Gothic Book" w:hAnsi="Franklin Gothic Book"/>
          </w:rPr>
          <w:id w:val="944807521"/>
          <w15:appearance w15:val="hidden"/>
          <w14:checkbox>
            <w14:checked w14:val="0"/>
            <w14:checkedState w14:val="2612" w14:font="MS Gothic"/>
            <w14:uncheckedState w14:val="2610" w14:font="MS Gothic"/>
          </w14:checkbox>
        </w:sdtPr>
        <w:sdtEndPr/>
        <w:sdtContent>
          <w:r w:rsidR="00827FF8" w:rsidRPr="00664EC7">
            <w:rPr>
              <w:rFonts w:ascii="Segoe UI Symbol" w:eastAsia="MS Gothic" w:hAnsi="Segoe UI Symbol" w:cs="Segoe UI Symbol"/>
            </w:rPr>
            <w:t>☐</w:t>
          </w:r>
        </w:sdtContent>
      </w:sdt>
      <w:r w:rsidR="00E131F0" w:rsidRPr="00664EC7">
        <w:rPr>
          <w:rFonts w:ascii="Franklin Gothic Book" w:hAnsi="Franklin Gothic Book"/>
        </w:rPr>
        <w:t xml:space="preserve"> Ask the utility </w:t>
      </w:r>
      <w:r w:rsidR="004106E6" w:rsidRPr="00664EC7">
        <w:rPr>
          <w:rFonts w:ascii="Franklin Gothic Book" w:hAnsi="Franklin Gothic Book"/>
        </w:rPr>
        <w:t>if they have</w:t>
      </w:r>
      <w:r w:rsidR="00E131F0" w:rsidRPr="00664EC7">
        <w:rPr>
          <w:rFonts w:ascii="Franklin Gothic Book" w:hAnsi="Franklin Gothic Book"/>
        </w:rPr>
        <w:t xml:space="preserve"> a “pre-application” process</w:t>
      </w:r>
      <w:r w:rsidR="0042178D" w:rsidRPr="00664EC7">
        <w:rPr>
          <w:rFonts w:ascii="Franklin Gothic Book" w:hAnsi="Franklin Gothic Book"/>
        </w:rPr>
        <w:t xml:space="preserve"> to obtain preliminary </w:t>
      </w:r>
      <w:r w:rsidR="004106E6" w:rsidRPr="00664EC7">
        <w:rPr>
          <w:rFonts w:ascii="Franklin Gothic Book" w:hAnsi="Franklin Gothic Book"/>
        </w:rPr>
        <w:t xml:space="preserve">information regarding utility system constraints, study </w:t>
      </w:r>
      <w:r w:rsidR="0042178D" w:rsidRPr="00664EC7">
        <w:rPr>
          <w:rFonts w:ascii="Franklin Gothic Book" w:hAnsi="Franklin Gothic Book"/>
        </w:rPr>
        <w:t>requirement</w:t>
      </w:r>
      <w:r w:rsidR="004106E6" w:rsidRPr="00664EC7">
        <w:rPr>
          <w:rFonts w:ascii="Franklin Gothic Book" w:hAnsi="Franklin Gothic Book"/>
        </w:rPr>
        <w:t>s,</w:t>
      </w:r>
      <w:r w:rsidR="0042178D" w:rsidRPr="00664EC7">
        <w:rPr>
          <w:rFonts w:ascii="Franklin Gothic Book" w:hAnsi="Franklin Gothic Book"/>
        </w:rPr>
        <w:t xml:space="preserve"> </w:t>
      </w:r>
      <w:r w:rsidR="004106E6" w:rsidRPr="00664EC7">
        <w:rPr>
          <w:rFonts w:ascii="Franklin Gothic Book" w:hAnsi="Franklin Gothic Book"/>
        </w:rPr>
        <w:t xml:space="preserve">possible upgrades, </w:t>
      </w:r>
      <w:r w:rsidR="0042178D" w:rsidRPr="00664EC7">
        <w:rPr>
          <w:rFonts w:ascii="Franklin Gothic Book" w:hAnsi="Franklin Gothic Book"/>
        </w:rPr>
        <w:t>and</w:t>
      </w:r>
      <w:r w:rsidR="004106E6" w:rsidRPr="00664EC7">
        <w:rPr>
          <w:rFonts w:ascii="Franklin Gothic Book" w:hAnsi="Franklin Gothic Book"/>
        </w:rPr>
        <w:t xml:space="preserve"> more </w:t>
      </w:r>
      <w:r w:rsidR="00612C66" w:rsidRPr="00664EC7">
        <w:rPr>
          <w:rFonts w:ascii="Franklin Gothic Book" w:hAnsi="Franklin Gothic Book"/>
        </w:rPr>
        <w:t>detailed fee</w:t>
      </w:r>
      <w:r w:rsidR="0042178D" w:rsidRPr="00664EC7">
        <w:rPr>
          <w:rFonts w:ascii="Franklin Gothic Book" w:hAnsi="Franklin Gothic Book"/>
        </w:rPr>
        <w:t xml:space="preserve"> </w:t>
      </w:r>
      <w:r w:rsidR="004106E6" w:rsidRPr="00664EC7">
        <w:rPr>
          <w:rFonts w:ascii="Franklin Gothic Book" w:hAnsi="Franklin Gothic Book"/>
        </w:rPr>
        <w:t>information</w:t>
      </w:r>
      <w:r w:rsidR="0042178D" w:rsidRPr="00664EC7">
        <w:rPr>
          <w:rFonts w:ascii="Franklin Gothic Book" w:hAnsi="Franklin Gothic Book"/>
        </w:rPr>
        <w:t>.</w:t>
      </w:r>
    </w:p>
    <w:p w14:paraId="5214AF30" w14:textId="7E5A0808" w:rsidR="00957A5C" w:rsidRPr="00356B65" w:rsidRDefault="0042178D" w:rsidP="00664EC7">
      <w:pPr>
        <w:pStyle w:val="EEREBodyText"/>
      </w:pPr>
      <w:r w:rsidRPr="00356B65">
        <w:t xml:space="preserve">Some utilities offer a pre-application process that </w:t>
      </w:r>
      <w:r w:rsidR="00A24662" w:rsidRPr="00356B65">
        <w:t xml:space="preserve">agencies </w:t>
      </w:r>
      <w:r w:rsidRPr="00356B65">
        <w:t xml:space="preserve">could use to gather </w:t>
      </w:r>
      <w:r w:rsidR="00E131F0" w:rsidRPr="00356B65">
        <w:t>initial feedback regarding the planned DE project</w:t>
      </w:r>
      <w:r w:rsidR="0028045F">
        <w:t xml:space="preserve"> - </w:t>
      </w:r>
      <w:r w:rsidR="0028045F" w:rsidRPr="00356B65">
        <w:t>typically for a smaller fee and with a quicker turnaround time</w:t>
      </w:r>
      <w:r w:rsidR="0028045F">
        <w:t xml:space="preserve"> than the full interconnection process</w:t>
      </w:r>
      <w:r w:rsidR="00E131F0" w:rsidRPr="00356B65">
        <w:t xml:space="preserve">. </w:t>
      </w:r>
      <w:r w:rsidR="0028045F">
        <w:t>This will help an agency determine if there are any major cost or other barriers associated with the planned project</w:t>
      </w:r>
      <w:r w:rsidR="00165DD3">
        <w:t>.</w:t>
      </w:r>
      <w:r w:rsidRPr="00356B65">
        <w:t xml:space="preserve"> </w:t>
      </w:r>
      <w:r w:rsidR="0028045F">
        <w:t>R</w:t>
      </w:r>
      <w:r w:rsidRPr="00356B65">
        <w:t xml:space="preserve">equest a meeting with </w:t>
      </w:r>
      <w:r w:rsidR="00A24662" w:rsidRPr="00356B65">
        <w:t xml:space="preserve">the </w:t>
      </w:r>
      <w:r w:rsidRPr="00356B65">
        <w:t>utility’s interconnection staff to discuss pre-application request</w:t>
      </w:r>
      <w:r w:rsidR="00BF339D">
        <w:t xml:space="preserve"> options</w:t>
      </w:r>
      <w:r w:rsidRPr="00356B65">
        <w:t xml:space="preserve"> and get their input on the best interconnection process for </w:t>
      </w:r>
      <w:r w:rsidR="00A24662" w:rsidRPr="00356B65">
        <w:t xml:space="preserve">the </w:t>
      </w:r>
      <w:r w:rsidR="00BF339D">
        <w:t xml:space="preserve">planned </w:t>
      </w:r>
      <w:r w:rsidR="00356B65">
        <w:t xml:space="preserve">DE </w:t>
      </w:r>
      <w:r w:rsidRPr="00356B65">
        <w:t>project.</w:t>
      </w:r>
    </w:p>
    <w:p w14:paraId="3A31617F" w14:textId="2D0C9953" w:rsidR="00F41148" w:rsidRPr="007C1CD8" w:rsidRDefault="002B5EF5" w:rsidP="00A62E7F">
      <w:pPr>
        <w:pStyle w:val="Style1"/>
        <w:spacing w:before="0" w:after="120"/>
      </w:pPr>
      <w:sdt>
        <w:sdtPr>
          <w:rPr>
            <w:rFonts w:ascii="Franklin Gothic Book" w:hAnsi="Franklin Gothic Book"/>
          </w:rPr>
          <w:id w:val="-1033493484"/>
          <w15:appearance w15:val="hidden"/>
          <w14:checkbox>
            <w14:checked w14:val="0"/>
            <w14:checkedState w14:val="2612" w14:font="MS Gothic"/>
            <w14:uncheckedState w14:val="2610" w14:font="MS Gothic"/>
          </w14:checkbox>
        </w:sdtPr>
        <w:sdtEndPr/>
        <w:sdtContent>
          <w:r w:rsidR="00E131F0" w:rsidRPr="00664EC7">
            <w:rPr>
              <w:rFonts w:ascii="Segoe UI Symbol" w:eastAsia="MS Gothic" w:hAnsi="Segoe UI Symbol" w:cs="Segoe UI Symbol"/>
            </w:rPr>
            <w:t>☐</w:t>
          </w:r>
        </w:sdtContent>
      </w:sdt>
      <w:r w:rsidR="00F41148" w:rsidRPr="00664EC7">
        <w:rPr>
          <w:rFonts w:ascii="Franklin Gothic Book" w:hAnsi="Franklin Gothic Book"/>
        </w:rPr>
        <w:t xml:space="preserve"> </w:t>
      </w:r>
      <w:r w:rsidR="00CA225C" w:rsidRPr="00664EC7">
        <w:rPr>
          <w:rFonts w:ascii="Franklin Gothic Book" w:hAnsi="Franklin Gothic Book"/>
        </w:rPr>
        <w:t>Confirm i</w:t>
      </w:r>
      <w:r w:rsidR="00810047" w:rsidRPr="00664EC7">
        <w:rPr>
          <w:rFonts w:ascii="Franklin Gothic Book" w:hAnsi="Franklin Gothic Book"/>
        </w:rPr>
        <w:t>nterconnection a</w:t>
      </w:r>
      <w:r w:rsidR="007A7440" w:rsidRPr="00664EC7">
        <w:rPr>
          <w:rFonts w:ascii="Franklin Gothic Book" w:hAnsi="Franklin Gothic Book"/>
        </w:rPr>
        <w:t>pplication</w:t>
      </w:r>
      <w:r w:rsidR="00810047" w:rsidRPr="00664EC7">
        <w:rPr>
          <w:rFonts w:ascii="Franklin Gothic Book" w:hAnsi="Franklin Gothic Book"/>
        </w:rPr>
        <w:t xml:space="preserve">, </w:t>
      </w:r>
      <w:r w:rsidR="007A7440" w:rsidRPr="00664EC7">
        <w:rPr>
          <w:rFonts w:ascii="Franklin Gothic Book" w:hAnsi="Franklin Gothic Book"/>
        </w:rPr>
        <w:t xml:space="preserve">study </w:t>
      </w:r>
      <w:r w:rsidR="00C47323" w:rsidRPr="00664EC7">
        <w:rPr>
          <w:rFonts w:ascii="Franklin Gothic Book" w:hAnsi="Franklin Gothic Book"/>
        </w:rPr>
        <w:t xml:space="preserve">fees and </w:t>
      </w:r>
      <w:r w:rsidR="007A7440" w:rsidRPr="00664EC7">
        <w:rPr>
          <w:rFonts w:ascii="Franklin Gothic Book" w:hAnsi="Franklin Gothic Book"/>
        </w:rPr>
        <w:t>requirements</w:t>
      </w:r>
      <w:r w:rsidR="00635CD4" w:rsidRPr="00664EC7">
        <w:rPr>
          <w:rFonts w:ascii="Franklin Gothic Book" w:hAnsi="Franklin Gothic Book"/>
        </w:rPr>
        <w:t xml:space="preserve"> </w:t>
      </w:r>
      <w:r w:rsidR="009B4547" w:rsidRPr="00664EC7">
        <w:rPr>
          <w:rFonts w:ascii="Franklin Gothic Book" w:hAnsi="Franklin Gothic Book"/>
        </w:rPr>
        <w:t>(inverter specifications, one-line diagrams)</w:t>
      </w:r>
      <w:r w:rsidR="00B46A74" w:rsidRPr="00664EC7">
        <w:rPr>
          <w:rFonts w:ascii="Franklin Gothic Book" w:hAnsi="Franklin Gothic Book"/>
        </w:rPr>
        <w:t>.</w:t>
      </w:r>
    </w:p>
    <w:p w14:paraId="36127D34" w14:textId="2F49F429" w:rsidR="00957A5C" w:rsidRDefault="00810047" w:rsidP="00664EC7">
      <w:pPr>
        <w:pStyle w:val="EEREBodyText"/>
      </w:pPr>
      <w:r w:rsidRPr="00CF5CE9">
        <w:t xml:space="preserve">Every utility has a different interconnection process, but most will </w:t>
      </w:r>
      <w:r w:rsidR="00BF339D" w:rsidRPr="00CF5CE9">
        <w:t xml:space="preserve">first </w:t>
      </w:r>
      <w:r w:rsidRPr="00CF5CE9">
        <w:t xml:space="preserve">require an interconnection application that </w:t>
      </w:r>
      <w:r w:rsidR="00BF339D" w:rsidRPr="00CF5CE9">
        <w:t xml:space="preserve">requires DE system </w:t>
      </w:r>
      <w:r w:rsidRPr="00CF5CE9">
        <w:t>details such as the size, location,</w:t>
      </w:r>
      <w:r w:rsidR="00CA225C" w:rsidRPr="00CF5CE9">
        <w:t xml:space="preserve"> and</w:t>
      </w:r>
      <w:r w:rsidRPr="00CF5CE9">
        <w:t xml:space="preserve"> inverter specifications (in the case of solar PV and batteries). </w:t>
      </w:r>
      <w:r w:rsidR="0042178D" w:rsidRPr="00CF5CE9">
        <w:t xml:space="preserve">Obtain a copy of the interconnection application, and find out when the application can be submitted, as well as what level of project design detail is required for submittal. </w:t>
      </w:r>
      <w:r w:rsidRPr="00CF5CE9">
        <w:t xml:space="preserve">Additional design documentation such as one-line diagrams and site plans may be required by certain utilities as well. </w:t>
      </w:r>
      <w:r w:rsidR="00B64957">
        <w:t>A</w:t>
      </w:r>
      <w:r w:rsidR="00A339F0" w:rsidRPr="00CF5CE9">
        <w:t xml:space="preserve">pplication fees will typically be required upon application submittal.  For larger systems (typically greater than 1 MW), the utility </w:t>
      </w:r>
      <w:r w:rsidR="00BF339D" w:rsidRPr="00CF5CE9">
        <w:t>will also</w:t>
      </w:r>
      <w:r w:rsidR="00A339F0" w:rsidRPr="00CF5CE9">
        <w:t xml:space="preserve"> require additional</w:t>
      </w:r>
      <w:r w:rsidR="00AB5696" w:rsidRPr="00CF5CE9">
        <w:t>, larger</w:t>
      </w:r>
      <w:r w:rsidR="00A339F0" w:rsidRPr="00CF5CE9">
        <w:t xml:space="preserve"> payments for system impact studies</w:t>
      </w:r>
      <w:r w:rsidR="00CA225C" w:rsidRPr="00CF5CE9">
        <w:t xml:space="preserve">. </w:t>
      </w:r>
      <w:r w:rsidR="00A339F0" w:rsidRPr="00CF5CE9">
        <w:t xml:space="preserve">Although the interconnection studies will determine the final </w:t>
      </w:r>
      <w:r w:rsidR="00BF339D" w:rsidRPr="00CF5CE9">
        <w:t xml:space="preserve">system upgrade requirements and </w:t>
      </w:r>
      <w:r w:rsidR="00A339F0" w:rsidRPr="00CF5CE9">
        <w:t xml:space="preserve">costs, </w:t>
      </w:r>
      <w:r w:rsidR="00A24662" w:rsidRPr="00CF5CE9">
        <w:t xml:space="preserve">the </w:t>
      </w:r>
      <w:r w:rsidR="00A339F0" w:rsidRPr="00CF5CE9">
        <w:t xml:space="preserve">utility may be able to give you an initial </w:t>
      </w:r>
      <w:r w:rsidR="00BF339D" w:rsidRPr="00CF5CE9">
        <w:t>indication</w:t>
      </w:r>
      <w:r w:rsidR="00A339F0" w:rsidRPr="00CF5CE9">
        <w:t xml:space="preserve"> of the system upgrades that may be required as a result of </w:t>
      </w:r>
      <w:r w:rsidR="00A24662" w:rsidRPr="00CF5CE9">
        <w:t xml:space="preserve">the </w:t>
      </w:r>
      <w:r w:rsidR="00A339F0" w:rsidRPr="00CF5CE9">
        <w:t>DE project.</w:t>
      </w:r>
      <w:r w:rsidR="00827FF8" w:rsidRPr="00CF5CE9">
        <w:t xml:space="preserve"> </w:t>
      </w:r>
      <w:r w:rsidR="00AB5696" w:rsidRPr="00CF5CE9">
        <w:t>If interconnection studies are needed, c</w:t>
      </w:r>
      <w:r w:rsidR="00827FF8" w:rsidRPr="00CF5CE9">
        <w:t xml:space="preserve">onfirm how long the </w:t>
      </w:r>
      <w:r w:rsidR="00BF339D" w:rsidRPr="00CF5CE9">
        <w:t xml:space="preserve">interconnection study </w:t>
      </w:r>
      <w:r w:rsidR="00827FF8" w:rsidRPr="00CF5CE9">
        <w:t xml:space="preserve">results and </w:t>
      </w:r>
      <w:r w:rsidR="00CA225C" w:rsidRPr="00CF5CE9">
        <w:t>requirements</w:t>
      </w:r>
      <w:r w:rsidR="00827FF8" w:rsidRPr="00CF5CE9">
        <w:t xml:space="preserve"> are valid</w:t>
      </w:r>
      <w:r w:rsidR="00CA225C" w:rsidRPr="00CF5CE9">
        <w:t>,</w:t>
      </w:r>
      <w:r w:rsidR="00827FF8" w:rsidRPr="00CF5CE9">
        <w:t xml:space="preserve"> and compare with</w:t>
      </w:r>
      <w:r w:rsidR="0003243C">
        <w:t xml:space="preserve"> the</w:t>
      </w:r>
      <w:r w:rsidR="00827FF8" w:rsidRPr="00CF5CE9">
        <w:t xml:space="preserve"> project construction schedule.</w:t>
      </w:r>
      <w:r w:rsidR="00A46EBC">
        <w:t xml:space="preserve"> I</w:t>
      </w:r>
      <w:r w:rsidR="00A46EBC" w:rsidRPr="00A46EBC">
        <w:t xml:space="preserve">f significant upgrades are required, </w:t>
      </w:r>
      <w:r w:rsidR="00A46EBC">
        <w:t xml:space="preserve">they </w:t>
      </w:r>
      <w:r w:rsidR="00A46EBC" w:rsidRPr="00A46EBC">
        <w:t xml:space="preserve">can sometimes be </w:t>
      </w:r>
      <w:r w:rsidR="00A46EBC">
        <w:t xml:space="preserve">incorporated into a </w:t>
      </w:r>
      <w:r w:rsidR="00A46EBC" w:rsidRPr="00A46EBC">
        <w:t xml:space="preserve">connection fee that can be paid </w:t>
      </w:r>
      <w:r w:rsidR="00A46EBC">
        <w:t xml:space="preserve">over time </w:t>
      </w:r>
      <w:r w:rsidR="00A46EBC" w:rsidRPr="00A46EBC">
        <w:t>as an on-bill charge.</w:t>
      </w:r>
    </w:p>
    <w:p w14:paraId="43288895" w14:textId="77777777" w:rsidR="00957A5C" w:rsidRPr="00CF5CE9" w:rsidRDefault="00957A5C" w:rsidP="00664EC7">
      <w:pPr>
        <w:pStyle w:val="EEREBodyText"/>
        <w:rPr>
          <w:rFonts w:asciiTheme="minorHAnsi" w:hAnsiTheme="minorHAnsi" w:cstheme="minorHAnsi"/>
          <w:sz w:val="22"/>
          <w:szCs w:val="22"/>
        </w:rPr>
      </w:pPr>
    </w:p>
    <w:p w14:paraId="43F74F5E" w14:textId="3D073FD3" w:rsidR="00F41148" w:rsidRPr="007C1CD8" w:rsidRDefault="002B5EF5" w:rsidP="00A62E7F">
      <w:pPr>
        <w:pStyle w:val="Style1"/>
        <w:spacing w:before="0" w:after="120"/>
      </w:pPr>
      <w:sdt>
        <w:sdtPr>
          <w:rPr>
            <w:rFonts w:ascii="Franklin Gothic Book" w:hAnsi="Franklin Gothic Book"/>
          </w:rPr>
          <w:id w:val="652960790"/>
          <w15:appearance w15:val="hidden"/>
          <w14:checkbox>
            <w14:checked w14:val="0"/>
            <w14:checkedState w14:val="2612" w14:font="MS Gothic"/>
            <w14:uncheckedState w14:val="2610" w14:font="MS Gothic"/>
          </w14:checkbox>
        </w:sdtPr>
        <w:sdtEndPr/>
        <w:sdtContent>
          <w:r w:rsidR="00AB5696" w:rsidRPr="00664EC7">
            <w:rPr>
              <w:rFonts w:ascii="Segoe UI Symbol" w:eastAsia="MS Gothic" w:hAnsi="Segoe UI Symbol" w:cs="Segoe UI Symbol"/>
            </w:rPr>
            <w:t>☐</w:t>
          </w:r>
        </w:sdtContent>
      </w:sdt>
      <w:r w:rsidR="00F41148" w:rsidRPr="00664EC7">
        <w:rPr>
          <w:rFonts w:ascii="Franklin Gothic Book" w:hAnsi="Franklin Gothic Book"/>
        </w:rPr>
        <w:t xml:space="preserve"> </w:t>
      </w:r>
      <w:r w:rsidR="00CA225C" w:rsidRPr="00664EC7">
        <w:rPr>
          <w:rFonts w:ascii="Franklin Gothic Book" w:hAnsi="Franklin Gothic Book"/>
        </w:rPr>
        <w:t>Confirm interconnection</w:t>
      </w:r>
      <w:r w:rsidR="002F6A63" w:rsidRPr="00664EC7">
        <w:rPr>
          <w:rFonts w:ascii="Franklin Gothic Book" w:hAnsi="Franklin Gothic Book"/>
        </w:rPr>
        <w:t xml:space="preserve"> process</w:t>
      </w:r>
      <w:r w:rsidR="00102B87" w:rsidRPr="00664EC7">
        <w:rPr>
          <w:rFonts w:ascii="Franklin Gothic Book" w:hAnsi="Franklin Gothic Book"/>
        </w:rPr>
        <w:t xml:space="preserve"> t</w:t>
      </w:r>
      <w:r w:rsidR="00F72BF2" w:rsidRPr="00664EC7">
        <w:rPr>
          <w:rFonts w:ascii="Franklin Gothic Book" w:hAnsi="Franklin Gothic Book"/>
        </w:rPr>
        <w:t>imeline</w:t>
      </w:r>
      <w:r w:rsidR="0003243C" w:rsidRPr="00664EC7">
        <w:rPr>
          <w:rFonts w:ascii="Franklin Gothic Book" w:hAnsi="Franklin Gothic Book"/>
        </w:rPr>
        <w:t>.</w:t>
      </w:r>
    </w:p>
    <w:p w14:paraId="2596B502" w14:textId="050CA51B" w:rsidR="00AB5696" w:rsidRDefault="00A339F0" w:rsidP="00664EC7">
      <w:pPr>
        <w:pStyle w:val="EEREBodyText"/>
      </w:pPr>
      <w:r w:rsidRPr="00CF5CE9">
        <w:t xml:space="preserve">Discuss the application and interconnection study process with </w:t>
      </w:r>
      <w:r w:rsidR="00A24662" w:rsidRPr="00CF5CE9">
        <w:t xml:space="preserve">the </w:t>
      </w:r>
      <w:r w:rsidRPr="00CF5CE9">
        <w:t xml:space="preserve">utility to clearly understand the cost, risk, and timeline involved with </w:t>
      </w:r>
      <w:r w:rsidR="00AB5696" w:rsidRPr="00CF5CE9">
        <w:t xml:space="preserve">any </w:t>
      </w:r>
      <w:r w:rsidRPr="00CF5CE9">
        <w:t>interconnection studies</w:t>
      </w:r>
      <w:r w:rsidR="003E5EB5" w:rsidRPr="00CF5CE9">
        <w:t>. As projects increase in size,</w:t>
      </w:r>
      <w:r w:rsidR="00165DD3">
        <w:t xml:space="preserve"> the</w:t>
      </w:r>
      <w:r w:rsidR="003E5EB5" w:rsidRPr="00CF5CE9">
        <w:t xml:space="preserve"> </w:t>
      </w:r>
      <w:r w:rsidR="00AB5696" w:rsidRPr="00CF5CE9">
        <w:t>time</w:t>
      </w:r>
      <w:r w:rsidR="00165DD3">
        <w:t xml:space="preserve"> </w:t>
      </w:r>
      <w:r w:rsidR="00B131C0">
        <w:t>and cost</w:t>
      </w:r>
      <w:r w:rsidR="00AB5696" w:rsidRPr="00CF5CE9">
        <w:t xml:space="preserve"> required to complete the </w:t>
      </w:r>
      <w:r w:rsidR="003E5EB5" w:rsidRPr="00CF5CE9">
        <w:t xml:space="preserve">interconnection </w:t>
      </w:r>
      <w:r w:rsidR="00AB5696" w:rsidRPr="00CF5CE9">
        <w:t xml:space="preserve">application </w:t>
      </w:r>
      <w:r w:rsidR="003E5EB5" w:rsidRPr="00CF5CE9">
        <w:t xml:space="preserve">typically increases as well. </w:t>
      </w:r>
      <w:r w:rsidR="00AB5696" w:rsidRPr="00CF5CE9">
        <w:t>Be aware that v</w:t>
      </w:r>
      <w:r w:rsidR="003E5EB5" w:rsidRPr="00CF5CE9">
        <w:t xml:space="preserve">ery large projects (greater than 5MW) or projects that are in front of the meter may fall into a cluster-based study </w:t>
      </w:r>
      <w:r w:rsidR="00AB5696" w:rsidRPr="00CF5CE9">
        <w:t xml:space="preserve">approach </w:t>
      </w:r>
      <w:r w:rsidR="003E5EB5" w:rsidRPr="00CF5CE9">
        <w:t>where applications are put in a queue and reviewed 2-4 times a year</w:t>
      </w:r>
      <w:r w:rsidR="00AB5696" w:rsidRPr="00CF5CE9">
        <w:t>, which can add significant delays to project schedules.</w:t>
      </w:r>
    </w:p>
    <w:p w14:paraId="5126C2A4" w14:textId="77777777" w:rsidR="00957A5C" w:rsidRPr="00CF5CE9" w:rsidRDefault="00957A5C" w:rsidP="00664EC7">
      <w:pPr>
        <w:pStyle w:val="EEREBodyText"/>
      </w:pPr>
    </w:p>
    <w:p w14:paraId="290E2F40" w14:textId="422672C9" w:rsidR="00F72BF2" w:rsidRPr="007C1CD8" w:rsidRDefault="002B5EF5" w:rsidP="00A62E7F">
      <w:pPr>
        <w:pStyle w:val="Style1"/>
        <w:spacing w:before="0" w:after="120"/>
      </w:pPr>
      <w:sdt>
        <w:sdtPr>
          <w:rPr>
            <w:rFonts w:ascii="Franklin Gothic Book" w:hAnsi="Franklin Gothic Book"/>
          </w:rPr>
          <w:id w:val="56208644"/>
          <w15:appearance w15:val="hidden"/>
          <w14:checkbox>
            <w14:checked w14:val="0"/>
            <w14:checkedState w14:val="2612" w14:font="MS Gothic"/>
            <w14:uncheckedState w14:val="2610" w14:font="MS Gothic"/>
          </w14:checkbox>
        </w:sdtPr>
        <w:sdtEndPr/>
        <w:sdtContent>
          <w:r w:rsidR="00E131F0" w:rsidRPr="00664EC7">
            <w:rPr>
              <w:rFonts w:ascii="Segoe UI Symbol" w:eastAsia="MS Gothic" w:hAnsi="Segoe UI Symbol" w:cs="Segoe UI Symbol"/>
            </w:rPr>
            <w:t>☐</w:t>
          </w:r>
        </w:sdtContent>
      </w:sdt>
      <w:r w:rsidR="00F41148" w:rsidRPr="00664EC7">
        <w:rPr>
          <w:rFonts w:ascii="Franklin Gothic Book" w:hAnsi="Franklin Gothic Book"/>
        </w:rPr>
        <w:t xml:space="preserve"> </w:t>
      </w:r>
      <w:r w:rsidR="00882A96" w:rsidRPr="00664EC7">
        <w:rPr>
          <w:rFonts w:ascii="Franklin Gothic Book" w:hAnsi="Franklin Gothic Book"/>
        </w:rPr>
        <w:t>R</w:t>
      </w:r>
      <w:r w:rsidR="00635CD4" w:rsidRPr="00664EC7">
        <w:rPr>
          <w:rFonts w:ascii="Franklin Gothic Book" w:hAnsi="Franklin Gothic Book"/>
        </w:rPr>
        <w:t>equirements for projects that include batterie</w:t>
      </w:r>
      <w:r w:rsidR="00B25124" w:rsidRPr="00664EC7">
        <w:rPr>
          <w:rFonts w:ascii="Franklin Gothic Book" w:hAnsi="Franklin Gothic Book"/>
        </w:rPr>
        <w:t>s or microgrid applications</w:t>
      </w:r>
      <w:r w:rsidR="0003243C" w:rsidRPr="00664EC7">
        <w:rPr>
          <w:rFonts w:ascii="Franklin Gothic Book" w:hAnsi="Franklin Gothic Book"/>
        </w:rPr>
        <w:t>.</w:t>
      </w:r>
    </w:p>
    <w:p w14:paraId="3015A870" w14:textId="5705F281" w:rsidR="00AB5696" w:rsidRDefault="00B25124" w:rsidP="00664EC7">
      <w:pPr>
        <w:pStyle w:val="EEREBodyText"/>
      </w:pPr>
      <w:r w:rsidRPr="00CF5CE9">
        <w:t>Clarify with your utility how existing interconnection standards apply to battery storage systems</w:t>
      </w:r>
      <w:r w:rsidR="002F6A63" w:rsidRPr="00CF5CE9">
        <w:t>/microgrids</w:t>
      </w:r>
      <w:r w:rsidRPr="00CF5CE9">
        <w:t>, and whether there is a separate battery interconnection process. Communicate the intended use case for the battery to the utility, particularly if the battery is intended to operate during a utility outage. Coordinate closely with the utility concerning how transitions between utility power and islanded microgrid operation will be achieved to ensure that all utility technical and safety requirements are met.</w:t>
      </w:r>
    </w:p>
    <w:p w14:paraId="1A353268" w14:textId="77777777" w:rsidR="00957A5C" w:rsidRPr="00CF5CE9" w:rsidRDefault="00957A5C" w:rsidP="00664EC7">
      <w:pPr>
        <w:pStyle w:val="EEREBodyText"/>
      </w:pPr>
    </w:p>
    <w:p w14:paraId="03E13572" w14:textId="5A121B38" w:rsidR="00F41148" w:rsidRPr="00A8554C" w:rsidRDefault="006927BD" w:rsidP="00664EC7">
      <w:pPr>
        <w:pStyle w:val="Heading1"/>
        <w:pBdr>
          <w:top w:val="single" w:sz="18" w:space="1" w:color="C3C8C8"/>
        </w:pBdr>
        <w:spacing w:before="0" w:after="120"/>
        <w:rPr>
          <w:rFonts w:ascii="Franklin Gothic Medium" w:hAnsi="Franklin Gothic Medium"/>
          <w:b w:val="0"/>
          <w:bCs/>
          <w:color w:val="5E6A71"/>
        </w:rPr>
      </w:pPr>
      <w:bookmarkStart w:id="1" w:name="_Interconnection_Agreement_(ICA)"/>
      <w:bookmarkStart w:id="2" w:name="_Ref81487396"/>
      <w:bookmarkStart w:id="3" w:name="_Ref81488751"/>
      <w:bookmarkEnd w:id="1"/>
      <w:r w:rsidRPr="00A8554C">
        <w:rPr>
          <w:rFonts w:ascii="Franklin Gothic Medium" w:hAnsi="Franklin Gothic Medium"/>
          <w:b w:val="0"/>
          <w:bCs/>
          <w:color w:val="5E6A71"/>
        </w:rPr>
        <w:t xml:space="preserve">Interconnection </w:t>
      </w:r>
      <w:r w:rsidR="0068767F" w:rsidRPr="00A8554C">
        <w:rPr>
          <w:rFonts w:ascii="Franklin Gothic Medium" w:hAnsi="Franklin Gothic Medium"/>
          <w:b w:val="0"/>
          <w:bCs/>
          <w:color w:val="5E6A71"/>
        </w:rPr>
        <w:t>Agreement</w:t>
      </w:r>
      <w:bookmarkEnd w:id="2"/>
      <w:r w:rsidR="00EE5F7C" w:rsidRPr="00A8554C">
        <w:rPr>
          <w:rFonts w:ascii="Franklin Gothic Medium" w:hAnsi="Franklin Gothic Medium"/>
          <w:b w:val="0"/>
          <w:bCs/>
          <w:color w:val="5E6A71"/>
        </w:rPr>
        <w:t xml:space="preserve"> (ICA)</w:t>
      </w:r>
      <w:bookmarkEnd w:id="3"/>
    </w:p>
    <w:p w14:paraId="3E1ECBD2" w14:textId="16830BF5" w:rsidR="00987D0C" w:rsidRPr="00664EC7" w:rsidRDefault="002B5EF5" w:rsidP="00A62E7F">
      <w:pPr>
        <w:pStyle w:val="Style1"/>
        <w:spacing w:before="0" w:after="120"/>
        <w:rPr>
          <w:rFonts w:ascii="Franklin Gothic Book" w:hAnsi="Franklin Gothic Book"/>
        </w:rPr>
      </w:pPr>
      <w:sdt>
        <w:sdtPr>
          <w:rPr>
            <w:rFonts w:ascii="Franklin Gothic Book" w:hAnsi="Franklin Gothic Book"/>
          </w:rPr>
          <w:id w:val="-1497799861"/>
          <w15:appearance w15:val="hidden"/>
          <w14:checkbox>
            <w14:checked w14:val="0"/>
            <w14:checkedState w14:val="2612" w14:font="MS Gothic"/>
            <w14:uncheckedState w14:val="2610" w14:font="MS Gothic"/>
          </w14:checkbox>
        </w:sdtPr>
        <w:sdtEndPr/>
        <w:sdtContent>
          <w:r w:rsidR="00987D0C" w:rsidRPr="00664EC7">
            <w:rPr>
              <w:rFonts w:ascii="Segoe UI Symbol" w:eastAsia="MS Gothic" w:hAnsi="Segoe UI Symbol" w:cs="Segoe UI Symbol"/>
            </w:rPr>
            <w:t>☐</w:t>
          </w:r>
        </w:sdtContent>
      </w:sdt>
      <w:r w:rsidR="00987D0C" w:rsidRPr="00664EC7">
        <w:rPr>
          <w:rFonts w:ascii="Franklin Gothic Book" w:hAnsi="Franklin Gothic Book"/>
        </w:rPr>
        <w:t xml:space="preserve"> Confirm whether the agency or third-party owner is responsible for signing the </w:t>
      </w:r>
      <w:r w:rsidR="00960C51">
        <w:rPr>
          <w:rFonts w:ascii="Franklin Gothic Book" w:hAnsi="Franklin Gothic Book"/>
        </w:rPr>
        <w:t>ICA</w:t>
      </w:r>
      <w:r w:rsidR="00987D0C" w:rsidRPr="00664EC7">
        <w:rPr>
          <w:rFonts w:ascii="Franklin Gothic Book" w:hAnsi="Franklin Gothic Book"/>
        </w:rPr>
        <w:t xml:space="preserve"> (in some cases, both may need to sign a tri-party agreement)</w:t>
      </w:r>
      <w:r w:rsidR="00774780" w:rsidRPr="00664EC7">
        <w:rPr>
          <w:rFonts w:ascii="Franklin Gothic Book" w:hAnsi="Franklin Gothic Book"/>
        </w:rPr>
        <w:t>.</w:t>
      </w:r>
    </w:p>
    <w:p w14:paraId="6A25CDEB" w14:textId="3C6E6AAE" w:rsidR="00A835B2" w:rsidRDefault="00A835B2" w:rsidP="00664EC7">
      <w:pPr>
        <w:pStyle w:val="EEREBodyText"/>
      </w:pPr>
      <w:r w:rsidRPr="007C1CD8">
        <w:t xml:space="preserve">Utility requirements regarding who must sign an </w:t>
      </w:r>
      <w:r w:rsidR="003E33BB">
        <w:t>ICA</w:t>
      </w:r>
      <w:r w:rsidRPr="007C1CD8">
        <w:t xml:space="preserve"> vary. In some cases</w:t>
      </w:r>
      <w:r w:rsidR="00CF5CE9" w:rsidRPr="007C1CD8">
        <w:t>,</w:t>
      </w:r>
      <w:r w:rsidRPr="007C1CD8">
        <w:t xml:space="preserve"> the utility</w:t>
      </w:r>
      <w:r w:rsidR="001E431F" w:rsidRPr="007C1CD8">
        <w:t xml:space="preserve"> may allow the agency to choose whether the agency or a third-party owner will sign</w:t>
      </w:r>
      <w:r w:rsidRPr="007C1CD8">
        <w:t>. A tri-party agreement can be beneficial so that both the customer (agency) and third</w:t>
      </w:r>
      <w:r w:rsidR="00194CDB" w:rsidRPr="007C1CD8">
        <w:t>-</w:t>
      </w:r>
      <w:r w:rsidRPr="007C1CD8">
        <w:t xml:space="preserve">party owner </w:t>
      </w:r>
      <w:r w:rsidR="00194CDB" w:rsidRPr="007C1CD8">
        <w:t>(</w:t>
      </w:r>
      <w:r w:rsidRPr="007C1CD8">
        <w:t xml:space="preserve">with DE project </w:t>
      </w:r>
      <w:r w:rsidR="00194CDB" w:rsidRPr="007C1CD8">
        <w:t xml:space="preserve">operation </w:t>
      </w:r>
      <w:r w:rsidRPr="007C1CD8">
        <w:t>responsibility</w:t>
      </w:r>
      <w:r w:rsidR="00194CDB" w:rsidRPr="007C1CD8">
        <w:t>)</w:t>
      </w:r>
      <w:r w:rsidRPr="007C1CD8">
        <w:t xml:space="preserve"> have a contractual relationship. If the agency needs to sign the ICA</w:t>
      </w:r>
      <w:r w:rsidR="001E431F" w:rsidRPr="007C1CD8">
        <w:t>,</w:t>
      </w:r>
      <w:r w:rsidRPr="007C1CD8">
        <w:t xml:space="preserve"> it is very important to have it reviewed by legal/contracting early in the process so that any problematic terms/conditions can be identified and negotiated.</w:t>
      </w:r>
    </w:p>
    <w:p w14:paraId="4F65B6B3" w14:textId="77777777" w:rsidR="00957A5C" w:rsidRPr="007C1CD8" w:rsidRDefault="00957A5C" w:rsidP="00664EC7">
      <w:pPr>
        <w:pStyle w:val="EEREBodyText"/>
      </w:pPr>
    </w:p>
    <w:p w14:paraId="29E55B46" w14:textId="34AFC7A6" w:rsidR="00EE5F7C" w:rsidRPr="00664EC7" w:rsidRDefault="002B5EF5" w:rsidP="00A62E7F">
      <w:pPr>
        <w:pStyle w:val="Style1"/>
        <w:spacing w:before="0" w:after="120"/>
        <w:rPr>
          <w:rFonts w:ascii="Franklin Gothic Book" w:hAnsi="Franklin Gothic Book"/>
        </w:rPr>
      </w:pPr>
      <w:sdt>
        <w:sdtPr>
          <w:rPr>
            <w:rFonts w:ascii="Franklin Gothic Book" w:hAnsi="Franklin Gothic Book"/>
          </w:rPr>
          <w:id w:val="-394891036"/>
          <w15:appearance w15:val="hidden"/>
          <w14:checkbox>
            <w14:checked w14:val="0"/>
            <w14:checkedState w14:val="2612" w14:font="MS Gothic"/>
            <w14:uncheckedState w14:val="2610" w14:font="MS Gothic"/>
          </w14:checkbox>
        </w:sdtPr>
        <w:sdtEndPr/>
        <w:sdtContent>
          <w:r w:rsidR="00EE5F7C" w:rsidRPr="00664EC7">
            <w:rPr>
              <w:rFonts w:ascii="Segoe UI Symbol" w:eastAsia="MS Gothic" w:hAnsi="Segoe UI Symbol" w:cs="Segoe UI Symbol"/>
            </w:rPr>
            <w:t>☐</w:t>
          </w:r>
        </w:sdtContent>
      </w:sdt>
      <w:r w:rsidR="00EE5F7C" w:rsidRPr="00664EC7">
        <w:rPr>
          <w:rFonts w:ascii="Franklin Gothic Book" w:hAnsi="Franklin Gothic Book"/>
        </w:rPr>
        <w:t xml:space="preserve"> Find out if the utility has a template ICA, whether there is a federal/government-specific </w:t>
      </w:r>
      <w:r w:rsidR="005D0274" w:rsidRPr="00664EC7">
        <w:rPr>
          <w:rFonts w:ascii="Franklin Gothic Book" w:hAnsi="Franklin Gothic Book"/>
        </w:rPr>
        <w:t>version</w:t>
      </w:r>
      <w:r w:rsidR="00165DD3" w:rsidRPr="00664EC7">
        <w:rPr>
          <w:rFonts w:ascii="Franklin Gothic Book" w:hAnsi="Franklin Gothic Book"/>
        </w:rPr>
        <w:t xml:space="preserve"> </w:t>
      </w:r>
      <w:r w:rsidR="005D0274" w:rsidRPr="00664EC7">
        <w:rPr>
          <w:rFonts w:ascii="Franklin Gothic Book" w:hAnsi="Franklin Gothic Book"/>
        </w:rPr>
        <w:t>and</w:t>
      </w:r>
      <w:r w:rsidR="00EE5F7C" w:rsidRPr="00664EC7">
        <w:rPr>
          <w:rFonts w:ascii="Franklin Gothic Book" w:hAnsi="Franklin Gothic Book"/>
        </w:rPr>
        <w:t xml:space="preserve"> obtain a copy</w:t>
      </w:r>
      <w:r w:rsidR="00774780" w:rsidRPr="00664EC7">
        <w:rPr>
          <w:rFonts w:ascii="Franklin Gothic Book" w:hAnsi="Franklin Gothic Book"/>
        </w:rPr>
        <w:t>.</w:t>
      </w:r>
    </w:p>
    <w:p w14:paraId="75671E66" w14:textId="0C1ECCAB" w:rsidR="00A835B2" w:rsidRDefault="00A835B2" w:rsidP="00664EC7">
      <w:pPr>
        <w:pStyle w:val="EEREBodyText"/>
      </w:pPr>
      <w:r w:rsidRPr="007C1CD8">
        <w:t>Most utilities have template ICA, although it may vary depending on project size (and possibly type).</w:t>
      </w:r>
      <w:r w:rsidR="001E431F" w:rsidRPr="007C1CD8">
        <w:t xml:space="preserve"> Inquire whether</w:t>
      </w:r>
      <w:r w:rsidR="00CF5CE9" w:rsidRPr="007C1CD8">
        <w:t xml:space="preserve"> </w:t>
      </w:r>
      <w:r w:rsidRPr="007C1CD8">
        <w:t xml:space="preserve">the utility </w:t>
      </w:r>
      <w:r w:rsidR="001E431F" w:rsidRPr="007C1CD8">
        <w:t xml:space="preserve">has </w:t>
      </w:r>
      <w:r w:rsidRPr="007C1CD8">
        <w:t xml:space="preserve">already negotiated a revised template with another federal agency. This revised template is </w:t>
      </w:r>
      <w:r w:rsidR="001E431F" w:rsidRPr="007C1CD8">
        <w:t>less likely to include problematic provisions,</w:t>
      </w:r>
      <w:r w:rsidR="003F1EC5" w:rsidRPr="007C1CD8">
        <w:t xml:space="preserve"> although agency legal/contracting review is still necessary as agency policies </w:t>
      </w:r>
      <w:r w:rsidR="001E431F" w:rsidRPr="007C1CD8">
        <w:t xml:space="preserve">vary. </w:t>
      </w:r>
      <w:r w:rsidR="003F1EC5" w:rsidRPr="007C1CD8">
        <w:t xml:space="preserve">If there is not a federal ICA, ask whether the utility has negotiated a revised ICA with </w:t>
      </w:r>
      <w:r w:rsidR="00194CDB" w:rsidRPr="007C1CD8">
        <w:t xml:space="preserve">a </w:t>
      </w:r>
      <w:r w:rsidR="003F1EC5" w:rsidRPr="007C1CD8">
        <w:t xml:space="preserve">state/local government </w:t>
      </w:r>
      <w:r w:rsidR="00194CDB" w:rsidRPr="007C1CD8">
        <w:t xml:space="preserve">entity or </w:t>
      </w:r>
      <w:r w:rsidR="00165DD3">
        <w:t>similar</w:t>
      </w:r>
      <w:r w:rsidR="00194CDB" w:rsidRPr="007C1CD8">
        <w:t xml:space="preserve"> party. </w:t>
      </w:r>
    </w:p>
    <w:p w14:paraId="149E7538" w14:textId="77777777" w:rsidR="00957A5C" w:rsidRPr="007C1CD8" w:rsidRDefault="00957A5C" w:rsidP="00664EC7">
      <w:pPr>
        <w:pStyle w:val="EEREBodyText"/>
      </w:pPr>
    </w:p>
    <w:p w14:paraId="37AFE2D4" w14:textId="2340B0C8" w:rsidR="00C10A9A" w:rsidRPr="007C1CD8" w:rsidRDefault="002B5EF5" w:rsidP="00A62E7F">
      <w:pPr>
        <w:pStyle w:val="Style1"/>
        <w:spacing w:before="0" w:after="120"/>
      </w:pPr>
      <w:sdt>
        <w:sdtPr>
          <w:rPr>
            <w:rFonts w:ascii="Franklin Gothic Book" w:hAnsi="Franklin Gothic Book"/>
          </w:rPr>
          <w:id w:val="1972938211"/>
          <w15:appearance w15:val="hidden"/>
          <w14:checkbox>
            <w14:checked w14:val="0"/>
            <w14:checkedState w14:val="2612" w14:font="MS Gothic"/>
            <w14:uncheckedState w14:val="2610" w14:font="MS Gothic"/>
          </w14:checkbox>
        </w:sdtPr>
        <w:sdtEndPr/>
        <w:sdtContent>
          <w:r w:rsidR="00C10A9A" w:rsidRPr="00664EC7">
            <w:rPr>
              <w:rFonts w:ascii="Segoe UI Symbol" w:eastAsia="MS Gothic" w:hAnsi="Segoe UI Symbol" w:cs="Segoe UI Symbol"/>
            </w:rPr>
            <w:t>☐</w:t>
          </w:r>
        </w:sdtContent>
      </w:sdt>
      <w:r w:rsidR="00C10A9A" w:rsidRPr="00664EC7">
        <w:rPr>
          <w:rFonts w:ascii="Franklin Gothic Book" w:hAnsi="Franklin Gothic Book"/>
        </w:rPr>
        <w:t xml:space="preserve"> Identify utility point(s) of contact for ICA negotiation</w:t>
      </w:r>
      <w:r w:rsidR="00A25092" w:rsidRPr="00664EC7">
        <w:rPr>
          <w:rFonts w:ascii="Franklin Gothic Book" w:hAnsi="Franklin Gothic Book"/>
        </w:rPr>
        <w:t xml:space="preserve"> and </w:t>
      </w:r>
      <w:r w:rsidR="00480347" w:rsidRPr="00664EC7">
        <w:rPr>
          <w:rFonts w:ascii="Franklin Gothic Book" w:hAnsi="Franklin Gothic Book"/>
        </w:rPr>
        <w:t>i</w:t>
      </w:r>
      <w:r w:rsidR="00A25092" w:rsidRPr="00664EC7">
        <w:rPr>
          <w:rFonts w:ascii="Franklin Gothic Book" w:hAnsi="Franklin Gothic Book"/>
        </w:rPr>
        <w:t>dentify agency representative that will sign</w:t>
      </w:r>
      <w:r w:rsidR="00E322F3">
        <w:rPr>
          <w:rFonts w:ascii="Franklin Gothic Book" w:hAnsi="Franklin Gothic Book"/>
        </w:rPr>
        <w:t xml:space="preserve"> the</w:t>
      </w:r>
      <w:r w:rsidR="00A25092" w:rsidRPr="00664EC7">
        <w:rPr>
          <w:rFonts w:ascii="Franklin Gothic Book" w:hAnsi="Franklin Gothic Book"/>
        </w:rPr>
        <w:t xml:space="preserve"> ICA</w:t>
      </w:r>
      <w:r w:rsidR="00480347" w:rsidRPr="00664EC7">
        <w:rPr>
          <w:rFonts w:ascii="Franklin Gothic Book" w:hAnsi="Franklin Gothic Book"/>
        </w:rPr>
        <w:t>.</w:t>
      </w:r>
    </w:p>
    <w:p w14:paraId="6F61FDC3" w14:textId="1E03A88F" w:rsidR="00194CDB" w:rsidRDefault="001E431F" w:rsidP="00664EC7">
      <w:pPr>
        <w:pStyle w:val="EEREBodyText"/>
      </w:pPr>
      <w:r w:rsidRPr="007C1CD8">
        <w:t>Ask for the utility to designate a point of contact to</w:t>
      </w:r>
      <w:r w:rsidR="00194CDB" w:rsidRPr="007C1CD8">
        <w:t xml:space="preserve"> be involved if the agency is concerned about certain terms/conditions and would like to negotiate alternative language. Also ask how long the approval process is likely to take and whether the public utility commission (or other governing body) must approve changes</w:t>
      </w:r>
      <w:r w:rsidRPr="007C1CD8">
        <w:t xml:space="preserve"> to the ICA</w:t>
      </w:r>
      <w:r w:rsidR="00194CDB" w:rsidRPr="007C1CD8">
        <w:t>. It is also important to identify the agency staff person that will sign the ICA and ensure that they are part of the review process.</w:t>
      </w:r>
    </w:p>
    <w:p w14:paraId="0D6626CE" w14:textId="77777777" w:rsidR="00957A5C" w:rsidRPr="007C1CD8" w:rsidRDefault="00957A5C" w:rsidP="00664EC7">
      <w:pPr>
        <w:pStyle w:val="EEREBodyText"/>
      </w:pPr>
    </w:p>
    <w:p w14:paraId="1A8B5898" w14:textId="02A5B0BA" w:rsidR="00F3718B" w:rsidRPr="00664EC7" w:rsidRDefault="002B5EF5" w:rsidP="00A62E7F">
      <w:pPr>
        <w:pStyle w:val="Style1"/>
        <w:spacing w:before="0" w:after="120"/>
        <w:rPr>
          <w:rFonts w:ascii="Franklin Gothic Book" w:hAnsi="Franklin Gothic Book"/>
        </w:rPr>
      </w:pPr>
      <w:sdt>
        <w:sdtPr>
          <w:id w:val="2023582502"/>
          <w15:appearance w15:val="hidden"/>
          <w14:checkbox>
            <w14:checked w14:val="0"/>
            <w14:checkedState w14:val="2612" w14:font="MS Gothic"/>
            <w14:uncheckedState w14:val="2610" w14:font="MS Gothic"/>
          </w14:checkbox>
        </w:sdtPr>
        <w:sdtEndPr/>
        <w:sdtContent>
          <w:r w:rsidR="00ED6EC6" w:rsidRPr="007C1CD8">
            <w:rPr>
              <w:rFonts w:ascii="MS Gothic" w:eastAsia="MS Gothic" w:hAnsi="MS Gothic" w:hint="eastAsia"/>
            </w:rPr>
            <w:t>☐</w:t>
          </w:r>
        </w:sdtContent>
      </w:sdt>
      <w:r w:rsidR="00ED6EC6" w:rsidRPr="00664EC7">
        <w:rPr>
          <w:rFonts w:ascii="Franklin Gothic Book" w:hAnsi="Franklin Gothic Book"/>
        </w:rPr>
        <w:t xml:space="preserve"> </w:t>
      </w:r>
      <w:r w:rsidR="007520EB" w:rsidRPr="00664EC7">
        <w:rPr>
          <w:rFonts w:ascii="Franklin Gothic Book" w:hAnsi="Franklin Gothic Book"/>
        </w:rPr>
        <w:t xml:space="preserve">Confirm when the </w:t>
      </w:r>
      <w:r w:rsidR="00EE5F7C" w:rsidRPr="00664EC7">
        <w:rPr>
          <w:rFonts w:ascii="Franklin Gothic Book" w:hAnsi="Franklin Gothic Book"/>
        </w:rPr>
        <w:t>ICA</w:t>
      </w:r>
      <w:r w:rsidR="00ED6EC6" w:rsidRPr="00664EC7">
        <w:rPr>
          <w:rFonts w:ascii="Franklin Gothic Book" w:hAnsi="Franklin Gothic Book"/>
        </w:rPr>
        <w:t xml:space="preserve"> </w:t>
      </w:r>
      <w:r w:rsidR="00EE5F7C" w:rsidRPr="00664EC7">
        <w:rPr>
          <w:rFonts w:ascii="Franklin Gothic Book" w:hAnsi="Franklin Gothic Book"/>
        </w:rPr>
        <w:t>can</w:t>
      </w:r>
      <w:r w:rsidR="007520EB" w:rsidRPr="00664EC7">
        <w:rPr>
          <w:rFonts w:ascii="Franklin Gothic Book" w:hAnsi="Franklin Gothic Book"/>
        </w:rPr>
        <w:t xml:space="preserve"> be </w:t>
      </w:r>
      <w:r w:rsidR="00785D3A" w:rsidRPr="00664EC7">
        <w:rPr>
          <w:rFonts w:ascii="Franklin Gothic Book" w:hAnsi="Franklin Gothic Book"/>
        </w:rPr>
        <w:t>signed.</w:t>
      </w:r>
    </w:p>
    <w:p w14:paraId="1153544A" w14:textId="22EB70CC" w:rsidR="00194CDB" w:rsidRDefault="00194CDB" w:rsidP="00664EC7">
      <w:pPr>
        <w:pStyle w:val="EEREBodyText"/>
      </w:pPr>
      <w:r w:rsidRPr="007C1CD8">
        <w:t>Understanding when the ICA can be signed is important so that the agency can ensure that review and negotiations are complete in time</w:t>
      </w:r>
      <w:r w:rsidR="00163E73" w:rsidRPr="007C1CD8">
        <w:t xml:space="preserve"> and do not delay the project</w:t>
      </w:r>
      <w:r w:rsidRPr="007C1CD8">
        <w:t>. In some cases</w:t>
      </w:r>
      <w:r w:rsidR="001E431F" w:rsidRPr="007C1CD8">
        <w:t>,</w:t>
      </w:r>
      <w:r w:rsidRPr="007C1CD8">
        <w:t xml:space="preserve"> </w:t>
      </w:r>
      <w:r w:rsidR="00163E73" w:rsidRPr="007C1CD8">
        <w:t>the utility may allow signature of a “conditional ICA” earlier in the process. If so, make sure that the requirements for final ICA signature are clearly spelled out.</w:t>
      </w:r>
    </w:p>
    <w:p w14:paraId="3D531248" w14:textId="77777777" w:rsidR="00957A5C" w:rsidRPr="007C1CD8" w:rsidRDefault="00957A5C" w:rsidP="00664EC7">
      <w:pPr>
        <w:pStyle w:val="EEREBodyText"/>
      </w:pPr>
    </w:p>
    <w:p w14:paraId="15908461" w14:textId="0A2EB266" w:rsidR="00ED6EC6" w:rsidRPr="007C1CD8" w:rsidRDefault="002B5EF5" w:rsidP="00A62E7F">
      <w:pPr>
        <w:pStyle w:val="Style1"/>
        <w:spacing w:before="0" w:after="120"/>
      </w:pPr>
      <w:sdt>
        <w:sdtPr>
          <w:rPr>
            <w:rFonts w:ascii="Franklin Gothic Book" w:hAnsi="Franklin Gothic Book"/>
          </w:rPr>
          <w:id w:val="-1479613630"/>
          <w15:appearance w15:val="hidden"/>
          <w14:checkbox>
            <w14:checked w14:val="0"/>
            <w14:checkedState w14:val="2612" w14:font="MS Gothic"/>
            <w14:uncheckedState w14:val="2610" w14:font="MS Gothic"/>
          </w14:checkbox>
        </w:sdtPr>
        <w:sdtEndPr/>
        <w:sdtContent>
          <w:r w:rsidR="00F3718B" w:rsidRPr="00664EC7">
            <w:rPr>
              <w:rFonts w:ascii="Segoe UI Symbol" w:eastAsia="MS Gothic" w:hAnsi="Segoe UI Symbol" w:cs="Segoe UI Symbol"/>
            </w:rPr>
            <w:t>☐</w:t>
          </w:r>
        </w:sdtContent>
      </w:sdt>
      <w:r w:rsidR="00F3718B" w:rsidRPr="00664EC7">
        <w:rPr>
          <w:rFonts w:ascii="Franklin Gothic Book" w:hAnsi="Franklin Gothic Book"/>
        </w:rPr>
        <w:t xml:space="preserve"> </w:t>
      </w:r>
      <w:r w:rsidR="00A253AE" w:rsidRPr="00664EC7">
        <w:rPr>
          <w:rFonts w:ascii="Franklin Gothic Book" w:hAnsi="Franklin Gothic Book"/>
        </w:rPr>
        <w:t>Confirm whether agreements</w:t>
      </w:r>
      <w:r w:rsidR="00F3718B" w:rsidRPr="00664EC7">
        <w:rPr>
          <w:rFonts w:ascii="Franklin Gothic Book" w:hAnsi="Franklin Gothic Book"/>
        </w:rPr>
        <w:t xml:space="preserve"> other than the </w:t>
      </w:r>
      <w:r w:rsidR="003E33BB">
        <w:rPr>
          <w:rFonts w:ascii="Franklin Gothic Book" w:hAnsi="Franklin Gothic Book"/>
        </w:rPr>
        <w:t>ICA</w:t>
      </w:r>
      <w:r w:rsidR="00F3718B" w:rsidRPr="00664EC7">
        <w:rPr>
          <w:rFonts w:ascii="Franklin Gothic Book" w:hAnsi="Franklin Gothic Book"/>
        </w:rPr>
        <w:t xml:space="preserve"> </w:t>
      </w:r>
      <w:r w:rsidR="00A253AE" w:rsidRPr="00664EC7">
        <w:rPr>
          <w:rFonts w:ascii="Franklin Gothic Book" w:hAnsi="Franklin Gothic Book"/>
        </w:rPr>
        <w:t xml:space="preserve">are </w:t>
      </w:r>
      <w:r w:rsidR="00F3718B" w:rsidRPr="00664EC7">
        <w:rPr>
          <w:rFonts w:ascii="Franklin Gothic Book" w:hAnsi="Franklin Gothic Book"/>
        </w:rPr>
        <w:t>required (</w:t>
      </w:r>
      <w:r w:rsidR="00563970" w:rsidRPr="00664EC7">
        <w:rPr>
          <w:rFonts w:ascii="Franklin Gothic Book" w:hAnsi="Franklin Gothic Book"/>
        </w:rPr>
        <w:t>e.g.,</w:t>
      </w:r>
      <w:r w:rsidR="00F3718B" w:rsidRPr="00664EC7">
        <w:rPr>
          <w:rFonts w:ascii="Franklin Gothic Book" w:hAnsi="Franklin Gothic Book"/>
        </w:rPr>
        <w:t xml:space="preserve"> net metering)</w:t>
      </w:r>
      <w:r w:rsidR="00774780" w:rsidRPr="00664EC7">
        <w:rPr>
          <w:rFonts w:ascii="Franklin Gothic Book" w:hAnsi="Franklin Gothic Book"/>
        </w:rPr>
        <w:t>.</w:t>
      </w:r>
    </w:p>
    <w:p w14:paraId="5E92BD91" w14:textId="7E232691" w:rsidR="00163E73" w:rsidRDefault="001E431F" w:rsidP="00664EC7">
      <w:pPr>
        <w:pStyle w:val="EEREBodyText"/>
      </w:pPr>
      <w:r w:rsidRPr="007C1CD8">
        <w:t>N</w:t>
      </w:r>
      <w:r w:rsidR="00163E73" w:rsidRPr="007C1CD8">
        <w:t xml:space="preserve">et metering agreements are </w:t>
      </w:r>
      <w:r w:rsidRPr="007C1CD8">
        <w:t xml:space="preserve">often </w:t>
      </w:r>
      <w:r w:rsidR="00163E73" w:rsidRPr="007C1CD8">
        <w:t>separate from the ICA, so it is important to ask the utility if there are other agreements beyond the ICA that are required.</w:t>
      </w:r>
      <w:r w:rsidR="00A46EBC" w:rsidRPr="009C0677">
        <w:t xml:space="preserve"> Particularly for </w:t>
      </w:r>
      <w:r w:rsidR="009C0677" w:rsidRPr="009C0677">
        <w:t xml:space="preserve">DE projects that will reduce a site’s electricity demand significantly, ask the </w:t>
      </w:r>
      <w:r w:rsidR="00A46EBC" w:rsidRPr="009C0677">
        <w:t>utility whether the DE project might trigger the need for a new standby service agreemen</w:t>
      </w:r>
      <w:r w:rsidR="009C0677" w:rsidRPr="009C0677">
        <w:t>t.</w:t>
      </w:r>
    </w:p>
    <w:p w14:paraId="258B7E3D" w14:textId="77777777" w:rsidR="00957A5C" w:rsidRPr="007C1CD8" w:rsidRDefault="00957A5C" w:rsidP="00664EC7">
      <w:pPr>
        <w:pStyle w:val="EEREBodyText"/>
      </w:pPr>
    </w:p>
    <w:p w14:paraId="67ADF915" w14:textId="77777777" w:rsidR="00827FF8" w:rsidRPr="00664EC7" w:rsidRDefault="002B5EF5" w:rsidP="00A62E7F">
      <w:pPr>
        <w:pStyle w:val="Style1"/>
        <w:spacing w:before="0" w:after="120"/>
        <w:rPr>
          <w:rFonts w:ascii="Franklin Gothic Book" w:hAnsi="Franklin Gothic Book"/>
        </w:rPr>
      </w:pPr>
      <w:sdt>
        <w:sdtPr>
          <w:rPr>
            <w:rFonts w:ascii="Franklin Gothic Book" w:hAnsi="Franklin Gothic Book"/>
          </w:rPr>
          <w:id w:val="1724633026"/>
          <w15:appearance w15:val="hidden"/>
          <w14:checkbox>
            <w14:checked w14:val="0"/>
            <w14:checkedState w14:val="2612" w14:font="MS Gothic"/>
            <w14:uncheckedState w14:val="2610" w14:font="MS Gothic"/>
          </w14:checkbox>
        </w:sdtPr>
        <w:sdtEndPr/>
        <w:sdtContent>
          <w:r w:rsidR="00AD7245" w:rsidRPr="00664EC7">
            <w:rPr>
              <w:rFonts w:ascii="Segoe UI Symbol" w:eastAsia="MS Gothic" w:hAnsi="Segoe UI Symbol" w:cs="Segoe UI Symbol"/>
            </w:rPr>
            <w:t>☐</w:t>
          </w:r>
        </w:sdtContent>
      </w:sdt>
      <w:r w:rsidR="00ED6EC6" w:rsidRPr="00664EC7">
        <w:rPr>
          <w:rFonts w:ascii="Franklin Gothic Book" w:hAnsi="Franklin Gothic Book"/>
        </w:rPr>
        <w:t xml:space="preserve"> </w:t>
      </w:r>
      <w:r w:rsidR="00987D0C" w:rsidRPr="00664EC7">
        <w:rPr>
          <w:rFonts w:ascii="Franklin Gothic Book" w:hAnsi="Franklin Gothic Book"/>
        </w:rPr>
        <w:t>Ensure that legal and/or contracting staff r</w:t>
      </w:r>
      <w:r w:rsidR="00A253AE" w:rsidRPr="00664EC7">
        <w:rPr>
          <w:rFonts w:ascii="Franklin Gothic Book" w:hAnsi="Franklin Gothic Book"/>
        </w:rPr>
        <w:t>eview the</w:t>
      </w:r>
      <w:r w:rsidR="006A4E9F" w:rsidRPr="00664EC7">
        <w:rPr>
          <w:rFonts w:ascii="Franklin Gothic Book" w:hAnsi="Franklin Gothic Book"/>
        </w:rPr>
        <w:t xml:space="preserve"> </w:t>
      </w:r>
      <w:r w:rsidR="00C168F8" w:rsidRPr="00664EC7">
        <w:rPr>
          <w:rFonts w:ascii="Franklin Gothic Book" w:hAnsi="Franklin Gothic Book"/>
        </w:rPr>
        <w:t>ICA</w:t>
      </w:r>
      <w:r w:rsidR="006A4E9F" w:rsidRPr="00664EC7">
        <w:rPr>
          <w:rFonts w:ascii="Franklin Gothic Book" w:hAnsi="Franklin Gothic Book"/>
        </w:rPr>
        <w:t xml:space="preserve"> </w:t>
      </w:r>
      <w:r w:rsidR="00987D0C" w:rsidRPr="00664EC7">
        <w:rPr>
          <w:rFonts w:ascii="Franklin Gothic Book" w:hAnsi="Franklin Gothic Book"/>
        </w:rPr>
        <w:t xml:space="preserve">and identify any </w:t>
      </w:r>
      <w:r w:rsidR="006A4E9F" w:rsidRPr="00664EC7">
        <w:rPr>
          <w:rFonts w:ascii="Franklin Gothic Book" w:hAnsi="Franklin Gothic Book"/>
        </w:rPr>
        <w:t xml:space="preserve">problematic language </w:t>
      </w:r>
      <w:r w:rsidR="00A253AE" w:rsidRPr="00664EC7">
        <w:rPr>
          <w:rFonts w:ascii="Franklin Gothic Book" w:hAnsi="Franklin Gothic Book"/>
        </w:rPr>
        <w:t xml:space="preserve">for </w:t>
      </w:r>
      <w:r w:rsidR="006A4E9F" w:rsidRPr="00664EC7">
        <w:rPr>
          <w:rFonts w:ascii="Franklin Gothic Book" w:hAnsi="Franklin Gothic Book"/>
        </w:rPr>
        <w:t>federal agencies</w:t>
      </w:r>
      <w:r w:rsidR="00A25092" w:rsidRPr="00664EC7">
        <w:rPr>
          <w:rFonts w:ascii="Franklin Gothic Book" w:hAnsi="Franklin Gothic Book"/>
        </w:rPr>
        <w:t>.</w:t>
      </w:r>
      <w:r w:rsidR="00480347" w:rsidRPr="00664EC7">
        <w:rPr>
          <w:rFonts w:ascii="Franklin Gothic Book" w:hAnsi="Franklin Gothic Book"/>
        </w:rPr>
        <w:t xml:space="preserve"> </w:t>
      </w:r>
    </w:p>
    <w:p w14:paraId="4E0FA305" w14:textId="36F13BA2" w:rsidR="006A4E9F" w:rsidRDefault="00A25092" w:rsidP="00664EC7">
      <w:pPr>
        <w:pStyle w:val="EEREBodyText"/>
      </w:pPr>
      <w:r w:rsidRPr="007C1CD8">
        <w:t xml:space="preserve">Three common </w:t>
      </w:r>
      <w:r w:rsidR="00C168F8" w:rsidRPr="007C1CD8">
        <w:t>clauses that cause legal concerns</w:t>
      </w:r>
      <w:r w:rsidRPr="007C1CD8">
        <w:t xml:space="preserve"> for Federal agencies </w:t>
      </w:r>
      <w:r w:rsidR="00480347" w:rsidRPr="007C1CD8">
        <w:t xml:space="preserve">are </w:t>
      </w:r>
      <w:r w:rsidR="006A4E9F" w:rsidRPr="007C1CD8">
        <w:t>indemnification, choice of law,</w:t>
      </w:r>
      <w:r w:rsidR="00E83DDE" w:rsidRPr="007C1CD8">
        <w:t xml:space="preserve"> and </w:t>
      </w:r>
      <w:r w:rsidR="006A4E9F" w:rsidRPr="007C1CD8">
        <w:t>insurance</w:t>
      </w:r>
      <w:r w:rsidR="00E83DDE" w:rsidRPr="007C1CD8">
        <w:t xml:space="preserve">. </w:t>
      </w:r>
      <w:r w:rsidR="00C168F8" w:rsidRPr="007C1CD8">
        <w:t xml:space="preserve">Identify proposed ICA edits and </w:t>
      </w:r>
      <w:r w:rsidR="00733F9A" w:rsidRPr="007C1CD8">
        <w:t xml:space="preserve">propose these changes to the utility, </w:t>
      </w:r>
      <w:r w:rsidR="00C168F8" w:rsidRPr="007C1CD8">
        <w:t>negotiat</w:t>
      </w:r>
      <w:r w:rsidR="00733F9A" w:rsidRPr="007C1CD8">
        <w:t>ing as necessary.</w:t>
      </w:r>
      <w:r w:rsidR="00163E73" w:rsidRPr="007C1CD8">
        <w:t xml:space="preserve"> </w:t>
      </w:r>
      <w:hyperlink r:id="rId11" w:history="1">
        <w:r w:rsidR="00163E73" w:rsidRPr="00882A96">
          <w:rPr>
            <w:rStyle w:val="Hyperlink"/>
            <w:rFonts w:asciiTheme="minorHAnsi" w:hAnsiTheme="minorHAnsi" w:cstheme="minorHAnsi"/>
            <w:sz w:val="22"/>
            <w:szCs w:val="22"/>
          </w:rPr>
          <w:t>Contact FEMP</w:t>
        </w:r>
      </w:hyperlink>
      <w:r w:rsidR="00163E73" w:rsidRPr="007C1CD8">
        <w:t xml:space="preserve"> for possible alternative language.</w:t>
      </w:r>
    </w:p>
    <w:p w14:paraId="5F8989C5" w14:textId="77777777" w:rsidR="00957A5C" w:rsidRPr="007C1CD8" w:rsidRDefault="00957A5C" w:rsidP="00664EC7">
      <w:pPr>
        <w:pStyle w:val="EEREBodyText"/>
      </w:pPr>
    </w:p>
    <w:p w14:paraId="6525930B" w14:textId="3AAF9570" w:rsidR="00113819" w:rsidRPr="00664EC7" w:rsidRDefault="002B5EF5" w:rsidP="00A62E7F">
      <w:pPr>
        <w:pStyle w:val="Style1"/>
        <w:spacing w:before="0" w:after="120"/>
        <w:rPr>
          <w:rFonts w:ascii="Franklin Gothic Book" w:hAnsi="Franklin Gothic Book"/>
        </w:rPr>
      </w:pPr>
      <w:sdt>
        <w:sdtPr>
          <w:id w:val="-600021269"/>
          <w15:appearance w15:val="hidden"/>
          <w14:checkbox>
            <w14:checked w14:val="0"/>
            <w14:checkedState w14:val="2612" w14:font="MS Gothic"/>
            <w14:uncheckedState w14:val="2610" w14:font="MS Gothic"/>
          </w14:checkbox>
        </w:sdtPr>
        <w:sdtEndPr/>
        <w:sdtContent>
          <w:r w:rsidR="00113819" w:rsidRPr="007C1CD8">
            <w:rPr>
              <w:rFonts w:ascii="MS Gothic" w:eastAsia="MS Gothic" w:hAnsi="MS Gothic" w:hint="eastAsia"/>
            </w:rPr>
            <w:t>☐</w:t>
          </w:r>
        </w:sdtContent>
      </w:sdt>
      <w:r w:rsidR="00113819" w:rsidRPr="00664EC7">
        <w:rPr>
          <w:rFonts w:ascii="Franklin Gothic Book" w:hAnsi="Franklin Gothic Book"/>
        </w:rPr>
        <w:t xml:space="preserve"> Confirm whether the utility offers a </w:t>
      </w:r>
      <w:hyperlink r:id="rId12" w:history="1">
        <w:r w:rsidR="00113819" w:rsidRPr="00664EC7">
          <w:rPr>
            <w:rStyle w:val="Hyperlink"/>
            <w:rFonts w:ascii="Franklin Gothic Book" w:hAnsi="Franklin Gothic Book"/>
          </w:rPr>
          <w:t>GSA Areawide Contract</w:t>
        </w:r>
      </w:hyperlink>
      <w:r w:rsidR="00113819" w:rsidRPr="00664EC7">
        <w:rPr>
          <w:rStyle w:val="Hyperlink"/>
          <w:rFonts w:ascii="Franklin Gothic Book" w:hAnsi="Franklin Gothic Book"/>
        </w:rPr>
        <w:t xml:space="preserve"> (AWC).</w:t>
      </w:r>
      <w:r w:rsidR="00113819" w:rsidRPr="00664EC7">
        <w:rPr>
          <w:rFonts w:ascii="Franklin Gothic Book" w:hAnsi="Franklin Gothic Book"/>
        </w:rPr>
        <w:t xml:space="preserve"> </w:t>
      </w:r>
    </w:p>
    <w:p w14:paraId="6CBCA11E" w14:textId="3A773531" w:rsidR="00113819" w:rsidRDefault="00733F9A" w:rsidP="00664EC7">
      <w:pPr>
        <w:pStyle w:val="EEREBodyText"/>
      </w:pPr>
      <w:r w:rsidRPr="007C1CD8">
        <w:t>Find out if the utility has an AWC and if so, which Exhibit can be used for the ICA. Many AWC now have an Exhibit</w:t>
      </w:r>
      <w:r w:rsidR="00CF5CE9" w:rsidRPr="007C1CD8">
        <w:t xml:space="preserve"> called</w:t>
      </w:r>
      <w:r w:rsidRPr="007C1CD8">
        <w:t xml:space="preserve"> </w:t>
      </w:r>
      <w:r w:rsidR="00CF5CE9" w:rsidRPr="007C1CD8">
        <w:t>“</w:t>
      </w:r>
      <w:r w:rsidR="00113819" w:rsidRPr="007C1CD8">
        <w:t>Authorization for the Provision of Services Provided Under the Appropriate Regulatory Authority</w:t>
      </w:r>
      <w:r w:rsidR="00CF5CE9" w:rsidRPr="007C1CD8">
        <w:t>”</w:t>
      </w:r>
      <w:r w:rsidR="00113819" w:rsidRPr="007C1CD8">
        <w:t xml:space="preserve"> (</w:t>
      </w:r>
      <w:r w:rsidRPr="007C1CD8">
        <w:t xml:space="preserve">typically </w:t>
      </w:r>
      <w:r w:rsidR="00113819" w:rsidRPr="007C1CD8">
        <w:t>Exhibit D)</w:t>
      </w:r>
      <w:r w:rsidRPr="007C1CD8">
        <w:t>, that was specifically developed by GSA to facilitate ICA signature by federal agencies</w:t>
      </w:r>
      <w:r w:rsidR="00113819" w:rsidRPr="007C1CD8">
        <w:t>.</w:t>
      </w:r>
      <w:r w:rsidRPr="007C1CD8">
        <w:t xml:space="preserve"> If this exhibit is not available</w:t>
      </w:r>
      <w:r w:rsidR="00CF5CE9" w:rsidRPr="007C1CD8">
        <w:t>,</w:t>
      </w:r>
      <w:r w:rsidRPr="007C1CD8">
        <w:t xml:space="preserve"> then usually the</w:t>
      </w:r>
      <w:r w:rsidR="00CF5CE9" w:rsidRPr="007C1CD8">
        <w:t xml:space="preserve"> “</w:t>
      </w:r>
      <w:r w:rsidR="00113819" w:rsidRPr="007C1CD8">
        <w:t>Authorization for Electric Services</w:t>
      </w:r>
      <w:r w:rsidR="00CF5CE9" w:rsidRPr="007C1CD8">
        <w:t>”</w:t>
      </w:r>
      <w:r w:rsidR="00113819" w:rsidRPr="007C1CD8">
        <w:t xml:space="preserve"> (</w:t>
      </w:r>
      <w:r w:rsidRPr="007C1CD8">
        <w:t xml:space="preserve">typically </w:t>
      </w:r>
      <w:r w:rsidR="00113819" w:rsidRPr="007C1CD8">
        <w:t>Exhibit A)</w:t>
      </w:r>
      <w:r w:rsidRPr="007C1CD8">
        <w:t xml:space="preserve"> can be used</w:t>
      </w:r>
      <w:r w:rsidR="00113819" w:rsidRPr="007C1CD8">
        <w:t>.</w:t>
      </w:r>
    </w:p>
    <w:p w14:paraId="0A405E7D" w14:textId="77777777" w:rsidR="00957A5C" w:rsidRPr="007C1CD8" w:rsidRDefault="00957A5C" w:rsidP="00664EC7">
      <w:pPr>
        <w:pStyle w:val="EEREBodyText"/>
      </w:pPr>
    </w:p>
    <w:p w14:paraId="4ED909BD" w14:textId="3FA02478" w:rsidR="006A4E9F" w:rsidRPr="00664EC7" w:rsidRDefault="002B5EF5" w:rsidP="00A62E7F">
      <w:pPr>
        <w:pStyle w:val="Style1"/>
        <w:spacing w:before="0" w:after="120"/>
        <w:rPr>
          <w:rStyle w:val="Hyperlink"/>
          <w:rFonts w:ascii="Franklin Gothic Book" w:hAnsi="Franklin Gothic Book"/>
        </w:rPr>
      </w:pPr>
      <w:sdt>
        <w:sdtPr>
          <w:rPr>
            <w:color w:val="2998E3" w:themeColor="hyperlink"/>
            <w:u w:val="single"/>
          </w:rPr>
          <w:id w:val="-1026323641"/>
          <w15:appearance w15:val="hidden"/>
          <w14:checkbox>
            <w14:checked w14:val="0"/>
            <w14:checkedState w14:val="2612" w14:font="MS Gothic"/>
            <w14:uncheckedState w14:val="2610" w14:font="MS Gothic"/>
          </w14:checkbox>
        </w:sdtPr>
        <w:sdtEndPr/>
        <w:sdtContent>
          <w:r w:rsidR="00113819" w:rsidRPr="007C1CD8">
            <w:rPr>
              <w:rFonts w:ascii="MS Gothic" w:eastAsia="MS Gothic" w:hAnsi="MS Gothic" w:hint="eastAsia"/>
            </w:rPr>
            <w:t>☐</w:t>
          </w:r>
        </w:sdtContent>
      </w:sdt>
      <w:r w:rsidR="00113819" w:rsidRPr="00664EC7">
        <w:rPr>
          <w:rFonts w:ascii="Franklin Gothic Book" w:hAnsi="Franklin Gothic Book"/>
        </w:rPr>
        <w:t xml:space="preserve"> </w:t>
      </w:r>
      <w:r w:rsidR="006A4E9F" w:rsidRPr="00664EC7">
        <w:rPr>
          <w:rFonts w:ascii="Franklin Gothic Book" w:hAnsi="Franklin Gothic Book"/>
        </w:rPr>
        <w:t xml:space="preserve">Consider the GAO </w:t>
      </w:r>
      <w:r w:rsidR="00987D0C" w:rsidRPr="00664EC7">
        <w:rPr>
          <w:rFonts w:ascii="Franklin Gothic Book" w:hAnsi="Franklin Gothic Book"/>
        </w:rPr>
        <w:t xml:space="preserve">decisions </w:t>
      </w:r>
      <w:r w:rsidR="006A4E9F" w:rsidRPr="00664EC7">
        <w:rPr>
          <w:rFonts w:ascii="Franklin Gothic Book" w:hAnsi="Franklin Gothic Book"/>
        </w:rPr>
        <w:t xml:space="preserve">regarding indemnification - </w:t>
      </w:r>
      <w:hyperlink r:id="rId13" w:history="1">
        <w:r w:rsidR="006A4E9F" w:rsidRPr="00664EC7">
          <w:rPr>
            <w:rStyle w:val="Hyperlink"/>
            <w:rFonts w:ascii="Franklin Gothic Book" w:hAnsi="Franklin Gothic Book"/>
          </w:rPr>
          <w:t>59 Comp. Gen 705 (1980)</w:t>
        </w:r>
      </w:hyperlink>
      <w:r w:rsidR="006A4E9F" w:rsidRPr="00664EC7">
        <w:rPr>
          <w:rFonts w:ascii="Franklin Gothic Book" w:hAnsi="Franklin Gothic Book"/>
        </w:rPr>
        <w:t xml:space="preserve"> and</w:t>
      </w:r>
      <w:r w:rsidR="00113819" w:rsidRPr="00664EC7">
        <w:rPr>
          <w:rFonts w:ascii="Franklin Gothic Book" w:hAnsi="Franklin Gothic Book"/>
        </w:rPr>
        <w:t xml:space="preserve"> </w:t>
      </w:r>
      <w:hyperlink r:id="rId14" w:history="1">
        <w:r w:rsidR="006A4E9F" w:rsidRPr="00664EC7">
          <w:rPr>
            <w:rStyle w:val="Hyperlink"/>
            <w:rFonts w:ascii="Franklin Gothic Book" w:hAnsi="Franklin Gothic Book"/>
          </w:rPr>
          <w:t>B-197583 (1981)</w:t>
        </w:r>
      </w:hyperlink>
      <w:r w:rsidR="00774780" w:rsidRPr="00664EC7">
        <w:rPr>
          <w:rStyle w:val="Hyperlink"/>
          <w:rFonts w:ascii="Franklin Gothic Book" w:hAnsi="Franklin Gothic Book"/>
        </w:rPr>
        <w:t>.</w:t>
      </w:r>
    </w:p>
    <w:p w14:paraId="46B4D998" w14:textId="62759209" w:rsidR="00A8554C" w:rsidRDefault="00733F9A" w:rsidP="00664EC7">
      <w:pPr>
        <w:pStyle w:val="EEREBodyText"/>
      </w:pPr>
      <w:r w:rsidRPr="007C1CD8">
        <w:t xml:space="preserve">GAO has </w:t>
      </w:r>
      <w:r w:rsidR="00CF5CE9" w:rsidRPr="007C1CD8">
        <w:t xml:space="preserve">issued </w:t>
      </w:r>
      <w:r w:rsidRPr="007C1CD8">
        <w:t>several decisions that allow signature of contracts that include indemnification language in limited cases. Agency legal/</w:t>
      </w:r>
      <w:r w:rsidRPr="00664EC7">
        <w:t>contracting staff can review these decisions, understand the requirements, and determine whether these decisions can be used to justify ICA signature if needed once all the requirements are met.</w:t>
      </w:r>
    </w:p>
    <w:p w14:paraId="53705F0D" w14:textId="77777777" w:rsidR="00957A5C" w:rsidRPr="00664EC7" w:rsidRDefault="00957A5C" w:rsidP="00664EC7">
      <w:pPr>
        <w:pStyle w:val="EEREBodyText"/>
      </w:pPr>
    </w:p>
    <w:p w14:paraId="67449C6F" w14:textId="4859A28E" w:rsidR="00AD7245" w:rsidRPr="00A8554C" w:rsidRDefault="00785D3A" w:rsidP="00A8554C">
      <w:pPr>
        <w:pStyle w:val="Heading1"/>
        <w:pBdr>
          <w:top w:val="single" w:sz="18" w:space="1" w:color="C3C8C8"/>
        </w:pBdr>
        <w:spacing w:before="0" w:after="120"/>
        <w:rPr>
          <w:rFonts w:ascii="Franklin Gothic Medium" w:hAnsi="Franklin Gothic Medium"/>
          <w:b w:val="0"/>
          <w:bCs/>
          <w:color w:val="5E6A71"/>
        </w:rPr>
      </w:pPr>
      <w:r w:rsidRPr="00A8554C">
        <w:rPr>
          <w:rFonts w:ascii="Franklin Gothic Medium" w:hAnsi="Franklin Gothic Medium"/>
          <w:b w:val="0"/>
          <w:bCs/>
          <w:color w:val="5E6A71"/>
        </w:rPr>
        <w:t xml:space="preserve">Net Metering, </w:t>
      </w:r>
      <w:r w:rsidR="00E35498" w:rsidRPr="00A8554C">
        <w:rPr>
          <w:rFonts w:ascii="Franklin Gothic Medium" w:hAnsi="Franklin Gothic Medium"/>
          <w:b w:val="0"/>
          <w:bCs/>
          <w:color w:val="5E6A71"/>
        </w:rPr>
        <w:t>Rate</w:t>
      </w:r>
      <w:r w:rsidR="007F573C" w:rsidRPr="00A8554C">
        <w:rPr>
          <w:rFonts w:ascii="Franklin Gothic Medium" w:hAnsi="Franklin Gothic Medium"/>
          <w:b w:val="0"/>
          <w:bCs/>
          <w:color w:val="5E6A71"/>
        </w:rPr>
        <w:t xml:space="preserve"> Impact</w:t>
      </w:r>
      <w:r w:rsidR="00E35498" w:rsidRPr="00A8554C">
        <w:rPr>
          <w:rFonts w:ascii="Franklin Gothic Medium" w:hAnsi="Franklin Gothic Medium"/>
          <w:b w:val="0"/>
          <w:bCs/>
          <w:color w:val="5E6A71"/>
        </w:rPr>
        <w:t>s</w:t>
      </w:r>
      <w:r w:rsidR="00A8554C" w:rsidRPr="00A8554C">
        <w:rPr>
          <w:rFonts w:ascii="Franklin Gothic Medium" w:hAnsi="Franklin Gothic Medium"/>
          <w:b w:val="0"/>
          <w:bCs/>
          <w:color w:val="5E6A71"/>
        </w:rPr>
        <w:t>,</w:t>
      </w:r>
      <w:r w:rsidRPr="00A8554C">
        <w:rPr>
          <w:rFonts w:ascii="Franklin Gothic Medium" w:hAnsi="Franklin Gothic Medium"/>
          <w:b w:val="0"/>
          <w:bCs/>
          <w:color w:val="5E6A71"/>
        </w:rPr>
        <w:t xml:space="preserve"> and </w:t>
      </w:r>
      <w:r w:rsidR="00E35498" w:rsidRPr="00A8554C">
        <w:rPr>
          <w:rFonts w:ascii="Franklin Gothic Medium" w:hAnsi="Franklin Gothic Medium"/>
          <w:b w:val="0"/>
          <w:bCs/>
          <w:color w:val="5E6A71"/>
        </w:rPr>
        <w:t>Incentives</w:t>
      </w:r>
    </w:p>
    <w:p w14:paraId="3359A938" w14:textId="530B0AAF" w:rsidR="00BE264F" w:rsidRPr="007C1CD8" w:rsidRDefault="002B5EF5" w:rsidP="00A62E7F">
      <w:pPr>
        <w:pStyle w:val="Style1"/>
        <w:spacing w:before="0" w:after="120"/>
      </w:pPr>
      <w:sdt>
        <w:sdtPr>
          <w:rPr>
            <w:rFonts w:ascii="Franklin Gothic Book" w:hAnsi="Franklin Gothic Book"/>
          </w:rPr>
          <w:id w:val="550508484"/>
          <w15:appearance w15:val="hidden"/>
          <w14:checkbox>
            <w14:checked w14:val="0"/>
            <w14:checkedState w14:val="2612" w14:font="MS Gothic"/>
            <w14:uncheckedState w14:val="2610" w14:font="MS Gothic"/>
          </w14:checkbox>
        </w:sdtPr>
        <w:sdtEndPr/>
        <w:sdtContent>
          <w:r w:rsidR="00C4574E" w:rsidRPr="00A8554C">
            <w:rPr>
              <w:rFonts w:ascii="Segoe UI Symbol" w:eastAsia="MS Gothic" w:hAnsi="Segoe UI Symbol" w:cs="Segoe UI Symbol"/>
            </w:rPr>
            <w:t>☐</w:t>
          </w:r>
        </w:sdtContent>
      </w:sdt>
      <w:r w:rsidR="00E35498" w:rsidRPr="00A8554C">
        <w:rPr>
          <w:rFonts w:ascii="Franklin Gothic Book" w:hAnsi="Franklin Gothic Book"/>
        </w:rPr>
        <w:t xml:space="preserve"> </w:t>
      </w:r>
      <w:r w:rsidR="00C4574E" w:rsidRPr="00A8554C">
        <w:rPr>
          <w:rFonts w:ascii="Franklin Gothic Book" w:hAnsi="Franklin Gothic Book"/>
        </w:rPr>
        <w:t>Consider rate tariff changes, understand potential standby charges</w:t>
      </w:r>
      <w:r w:rsidR="00113819" w:rsidRPr="00A8554C">
        <w:rPr>
          <w:rFonts w:ascii="Franklin Gothic Book" w:hAnsi="Franklin Gothic Book"/>
        </w:rPr>
        <w:t>.</w:t>
      </w:r>
    </w:p>
    <w:p w14:paraId="69A5C8D1" w14:textId="18FB5243" w:rsidR="00BE264F" w:rsidRDefault="00103704" w:rsidP="00A8554C">
      <w:pPr>
        <w:pStyle w:val="EEREBodyText"/>
      </w:pPr>
      <w:r w:rsidRPr="007C1CD8">
        <w:t xml:space="preserve">New </w:t>
      </w:r>
      <w:r w:rsidR="00C22335" w:rsidRPr="007C1CD8">
        <w:t>DE</w:t>
      </w:r>
      <w:r w:rsidRPr="007C1CD8">
        <w:t xml:space="preserve"> projects may trigger a change in </w:t>
      </w:r>
      <w:r w:rsidR="00A24662" w:rsidRPr="007C1CD8">
        <w:t xml:space="preserve">a </w:t>
      </w:r>
      <w:r w:rsidRPr="007C1CD8">
        <w:t xml:space="preserve">site’s </w:t>
      </w:r>
      <w:r w:rsidR="00C22335" w:rsidRPr="007C1CD8">
        <w:t xml:space="preserve">applicable </w:t>
      </w:r>
      <w:r w:rsidRPr="007C1CD8">
        <w:t>utility rate tariff</w:t>
      </w:r>
      <w:r w:rsidR="00293351" w:rsidRPr="007C1CD8">
        <w:t xml:space="preserve"> due to the resulting load reduction.</w:t>
      </w:r>
      <w:r w:rsidR="00CF5CE9" w:rsidRPr="007C1CD8">
        <w:t xml:space="preserve"> T</w:t>
      </w:r>
      <w:r w:rsidR="00293351" w:rsidRPr="007C1CD8">
        <w:t>here may</w:t>
      </w:r>
      <w:r w:rsidR="00CF5CE9" w:rsidRPr="007C1CD8">
        <w:t xml:space="preserve"> also</w:t>
      </w:r>
      <w:r w:rsidR="00293351" w:rsidRPr="007C1CD8">
        <w:t xml:space="preserve"> be </w:t>
      </w:r>
      <w:r w:rsidR="00F2319B" w:rsidRPr="007C1CD8">
        <w:t xml:space="preserve">a requirement for a </w:t>
      </w:r>
      <w:r w:rsidR="00293351" w:rsidRPr="007C1CD8">
        <w:t xml:space="preserve">mandatory enrollment in a DE-specific tariff or </w:t>
      </w:r>
      <w:r w:rsidRPr="007C1CD8">
        <w:t>time-of-use pricing</w:t>
      </w:r>
      <w:r w:rsidR="004F1D79" w:rsidRPr="007C1CD8">
        <w:t>.</w:t>
      </w:r>
      <w:r w:rsidR="00293351" w:rsidRPr="007C1CD8">
        <w:t xml:space="preserve"> Standby charges may apply for certain </w:t>
      </w:r>
      <w:r w:rsidRPr="007C1CD8">
        <w:t>DE technologies</w:t>
      </w:r>
      <w:r w:rsidR="00293351" w:rsidRPr="007C1CD8">
        <w:t xml:space="preserve"> and/or DE projects over a certain size, so that the </w:t>
      </w:r>
      <w:r w:rsidR="00A548B2" w:rsidRPr="007C1CD8">
        <w:t>utilit</w:t>
      </w:r>
      <w:r w:rsidR="00293351" w:rsidRPr="007C1CD8">
        <w:t>y</w:t>
      </w:r>
      <w:r w:rsidR="00A548B2" w:rsidRPr="007C1CD8">
        <w:t xml:space="preserve"> </w:t>
      </w:r>
      <w:r w:rsidR="00293351" w:rsidRPr="007C1CD8">
        <w:t>can</w:t>
      </w:r>
      <w:r w:rsidR="00A548B2" w:rsidRPr="007C1CD8">
        <w:t xml:space="preserve"> recover their costs for generation reserves and distribution system capacity.  </w:t>
      </w:r>
    </w:p>
    <w:p w14:paraId="7C8F9453" w14:textId="77777777" w:rsidR="00957A5C" w:rsidRPr="007C1CD8" w:rsidRDefault="00957A5C" w:rsidP="00A8554C">
      <w:pPr>
        <w:pStyle w:val="EEREBodyText"/>
      </w:pPr>
    </w:p>
    <w:p w14:paraId="73040FE4" w14:textId="7639E90C" w:rsidR="00E35498" w:rsidRPr="00A8554C" w:rsidRDefault="002B5EF5" w:rsidP="00A62E7F">
      <w:pPr>
        <w:pStyle w:val="Style1"/>
        <w:spacing w:before="0" w:after="120"/>
        <w:rPr>
          <w:rFonts w:ascii="Franklin Gothic Book" w:hAnsi="Franklin Gothic Book"/>
        </w:rPr>
      </w:pPr>
      <w:sdt>
        <w:sdtPr>
          <w:rPr>
            <w:rFonts w:ascii="Franklin Gothic Book" w:hAnsi="Franklin Gothic Book"/>
          </w:rPr>
          <w:id w:val="1386602013"/>
          <w15:appearance w15:val="hidden"/>
          <w14:checkbox>
            <w14:checked w14:val="0"/>
            <w14:checkedState w14:val="2612" w14:font="MS Gothic"/>
            <w14:uncheckedState w14:val="2610" w14:font="MS Gothic"/>
          </w14:checkbox>
        </w:sdtPr>
        <w:sdtEndPr/>
        <w:sdtContent>
          <w:r w:rsidR="00E35498" w:rsidRPr="00A8554C">
            <w:rPr>
              <w:rFonts w:ascii="Segoe UI Symbol" w:eastAsia="MS Gothic" w:hAnsi="Segoe UI Symbol" w:cs="Segoe UI Symbol"/>
            </w:rPr>
            <w:t>☐</w:t>
          </w:r>
        </w:sdtContent>
      </w:sdt>
      <w:r w:rsidR="00E35498" w:rsidRPr="00A8554C">
        <w:rPr>
          <w:rFonts w:ascii="Franklin Gothic Book" w:hAnsi="Franklin Gothic Book"/>
        </w:rPr>
        <w:t xml:space="preserve"> Identify any applicable rebates and incentives</w:t>
      </w:r>
      <w:r w:rsidR="00113819" w:rsidRPr="00A8554C">
        <w:rPr>
          <w:rFonts w:ascii="Franklin Gothic Book" w:hAnsi="Franklin Gothic Book"/>
        </w:rPr>
        <w:t>.</w:t>
      </w:r>
    </w:p>
    <w:p w14:paraId="26AE6E31" w14:textId="2B3A3900" w:rsidR="00A548B2" w:rsidRDefault="00A548B2" w:rsidP="00A8554C">
      <w:pPr>
        <w:pStyle w:val="EEREBodyText"/>
      </w:pPr>
      <w:r w:rsidRPr="007C1CD8">
        <w:t xml:space="preserve">Some </w:t>
      </w:r>
      <w:r w:rsidR="00102B87" w:rsidRPr="007C1CD8">
        <w:t>DE</w:t>
      </w:r>
      <w:r w:rsidRPr="007C1CD8">
        <w:t xml:space="preserve"> projects may be eligible for rebates and </w:t>
      </w:r>
      <w:r w:rsidR="00102B87" w:rsidRPr="007C1CD8">
        <w:t xml:space="preserve">other </w:t>
      </w:r>
      <w:r w:rsidRPr="007C1CD8">
        <w:t xml:space="preserve">incentives offered </w:t>
      </w:r>
      <w:r w:rsidR="00102B87" w:rsidRPr="007C1CD8">
        <w:t>through</w:t>
      </w:r>
      <w:r w:rsidRPr="007C1CD8">
        <w:t xml:space="preserve"> state, local </w:t>
      </w:r>
      <w:r w:rsidR="00102B87" w:rsidRPr="007C1CD8">
        <w:t>and/</w:t>
      </w:r>
      <w:r w:rsidRPr="007C1CD8">
        <w:t>or utility programs. The Database of State Incentives for Renewables &amp; Efficiency (</w:t>
      </w:r>
      <w:hyperlink r:id="rId15" w:history="1">
        <w:r w:rsidRPr="007C1CD8">
          <w:rPr>
            <w:rStyle w:val="Hyperlink"/>
            <w:rFonts w:asciiTheme="minorHAnsi" w:hAnsiTheme="minorHAnsi" w:cstheme="minorHAnsi"/>
            <w:sz w:val="22"/>
            <w:szCs w:val="22"/>
          </w:rPr>
          <w:t>DSIRE</w:t>
        </w:r>
      </w:hyperlink>
      <w:r w:rsidRPr="007C1CD8">
        <w:t xml:space="preserve">), and </w:t>
      </w:r>
      <w:r w:rsidR="00A24662" w:rsidRPr="007C1CD8">
        <w:t xml:space="preserve">the </w:t>
      </w:r>
      <w:r w:rsidRPr="007C1CD8">
        <w:t xml:space="preserve">serving utility’s website are great starting points when exploring available incentives. Certain technologies may also be eligible for federal </w:t>
      </w:r>
      <w:r w:rsidR="003A49AC" w:rsidRPr="007C1CD8">
        <w:t>incentives, such as the Investment Tax Credit</w:t>
      </w:r>
      <w:r w:rsidR="00102B87" w:rsidRPr="007C1CD8">
        <w:t xml:space="preserve"> and accelerated depreciation; as well as state/local incentives such as property and/or sales tax exemptions. The DE project must be </w:t>
      </w:r>
      <w:r w:rsidR="003A49AC" w:rsidRPr="007C1CD8">
        <w:t>owned by a taxable business entity</w:t>
      </w:r>
      <w:r w:rsidR="00102B87" w:rsidRPr="007C1CD8">
        <w:t xml:space="preserve"> that can take advantage of these incentives and pass the incentives on to the federal government through a DE project cost reduction</w:t>
      </w:r>
      <w:r w:rsidR="003A49AC" w:rsidRPr="007C1CD8">
        <w:t>.</w:t>
      </w:r>
    </w:p>
    <w:p w14:paraId="73A990C9" w14:textId="77777777" w:rsidR="00957A5C" w:rsidRPr="007C1CD8" w:rsidRDefault="00957A5C" w:rsidP="00A8554C">
      <w:pPr>
        <w:pStyle w:val="EEREBodyText"/>
      </w:pPr>
    </w:p>
    <w:p w14:paraId="7039DC24" w14:textId="01398A8D" w:rsidR="00AD7245" w:rsidRPr="007C1CD8" w:rsidRDefault="002B5EF5" w:rsidP="00A62E7F">
      <w:pPr>
        <w:pStyle w:val="Style1"/>
        <w:spacing w:before="0" w:after="120"/>
      </w:pPr>
      <w:sdt>
        <w:sdtPr>
          <w:rPr>
            <w:rFonts w:ascii="Franklin Gothic Book" w:hAnsi="Franklin Gothic Book"/>
            <w:sz w:val="26"/>
            <w:szCs w:val="28"/>
          </w:rPr>
          <w:id w:val="1486508762"/>
          <w15:appearance w15:val="hidden"/>
          <w14:checkbox>
            <w14:checked w14:val="0"/>
            <w14:checkedState w14:val="2612" w14:font="MS Gothic"/>
            <w14:uncheckedState w14:val="2610" w14:font="MS Gothic"/>
          </w14:checkbox>
        </w:sdtPr>
        <w:sdtEndPr/>
        <w:sdtContent>
          <w:r w:rsidR="00774780" w:rsidRPr="00A8554C">
            <w:rPr>
              <w:rFonts w:ascii="Segoe UI Symbol" w:eastAsia="MS Gothic" w:hAnsi="Segoe UI Symbol" w:cs="Segoe UI Symbol"/>
              <w:sz w:val="26"/>
              <w:szCs w:val="28"/>
            </w:rPr>
            <w:t>☐</w:t>
          </w:r>
        </w:sdtContent>
      </w:sdt>
      <w:r w:rsidR="00774780" w:rsidRPr="00A8554C">
        <w:rPr>
          <w:rFonts w:ascii="Franklin Gothic Book" w:hAnsi="Franklin Gothic Book"/>
        </w:rPr>
        <w:t xml:space="preserve"> </w:t>
      </w:r>
      <w:r w:rsidR="00745493" w:rsidRPr="00A8554C">
        <w:rPr>
          <w:rFonts w:ascii="Franklin Gothic Book" w:hAnsi="Franklin Gothic Book"/>
        </w:rPr>
        <w:t xml:space="preserve">Determine if </w:t>
      </w:r>
      <w:r w:rsidR="00102B87" w:rsidRPr="00A8554C">
        <w:rPr>
          <w:rFonts w:ascii="Franklin Gothic Book" w:hAnsi="Franklin Gothic Book"/>
        </w:rPr>
        <w:t>the</w:t>
      </w:r>
      <w:r w:rsidR="00745493" w:rsidRPr="00A8554C">
        <w:rPr>
          <w:rFonts w:ascii="Franklin Gothic Book" w:hAnsi="Franklin Gothic Book"/>
        </w:rPr>
        <w:t xml:space="preserve"> utility has a net metering policy and if so, </w:t>
      </w:r>
      <w:r w:rsidR="00745493" w:rsidRPr="00A8554C">
        <w:rPr>
          <w:rFonts w:ascii="Franklin Gothic Book" w:hAnsi="Franklin Gothic Book" w:cs="Helvetica"/>
        </w:rPr>
        <w:t>i</w:t>
      </w:r>
      <w:r w:rsidR="00774780" w:rsidRPr="00A8554C">
        <w:rPr>
          <w:rFonts w:ascii="Franklin Gothic Book" w:hAnsi="Franklin Gothic Book" w:cs="Helvetica"/>
        </w:rPr>
        <w:t>dentify</w:t>
      </w:r>
      <w:r w:rsidR="00774780" w:rsidRPr="00A8554C">
        <w:rPr>
          <w:rFonts w:ascii="Franklin Gothic Book" w:hAnsi="Franklin Gothic Book"/>
        </w:rPr>
        <w:t xml:space="preserve"> utility’s maximum allowable project size.</w:t>
      </w:r>
      <w:r w:rsidR="00F51862" w:rsidRPr="00A8554C">
        <w:rPr>
          <w:rFonts w:ascii="Franklin Gothic Book" w:hAnsi="Franklin Gothic Book"/>
        </w:rPr>
        <w:t xml:space="preserve"> </w:t>
      </w:r>
      <w:r w:rsidR="00774780" w:rsidRPr="00A8554C">
        <w:rPr>
          <w:rFonts w:ascii="Franklin Gothic Book" w:hAnsi="Franklin Gothic Book"/>
        </w:rPr>
        <w:t>Understand h</w:t>
      </w:r>
      <w:r w:rsidR="00AD7245" w:rsidRPr="00A8554C">
        <w:rPr>
          <w:rFonts w:ascii="Franklin Gothic Book" w:hAnsi="Franklin Gothic Book"/>
        </w:rPr>
        <w:t>ow the utility measure</w:t>
      </w:r>
      <w:r w:rsidR="00774780" w:rsidRPr="00A8554C">
        <w:rPr>
          <w:rFonts w:ascii="Franklin Gothic Book" w:hAnsi="Franklin Gothic Book"/>
        </w:rPr>
        <w:t>s</w:t>
      </w:r>
      <w:r w:rsidR="00AD7245" w:rsidRPr="00A8554C">
        <w:rPr>
          <w:rFonts w:ascii="Franklin Gothic Book" w:hAnsi="Franklin Gothic Book"/>
        </w:rPr>
        <w:t xml:space="preserve"> project </w:t>
      </w:r>
      <w:r w:rsidR="005D0274" w:rsidRPr="00A8554C">
        <w:rPr>
          <w:rFonts w:ascii="Franklin Gothic Book" w:hAnsi="Franklin Gothic Book"/>
        </w:rPr>
        <w:t>size</w:t>
      </w:r>
      <w:r w:rsidR="00774780" w:rsidRPr="00A8554C">
        <w:rPr>
          <w:rFonts w:ascii="Franklin Gothic Book" w:hAnsi="Franklin Gothic Book"/>
        </w:rPr>
        <w:t xml:space="preserve"> (kW AC</w:t>
      </w:r>
      <w:r w:rsidR="005D0274" w:rsidRPr="00A8554C">
        <w:rPr>
          <w:rFonts w:ascii="Franklin Gothic Book" w:hAnsi="Franklin Gothic Book"/>
        </w:rPr>
        <w:t xml:space="preserve"> or </w:t>
      </w:r>
      <w:r w:rsidR="00774780" w:rsidRPr="00A8554C">
        <w:rPr>
          <w:rFonts w:ascii="Franklin Gothic Book" w:hAnsi="Franklin Gothic Book"/>
        </w:rPr>
        <w:t>kW DC).</w:t>
      </w:r>
    </w:p>
    <w:p w14:paraId="4289E219" w14:textId="4B245C6A" w:rsidR="003A49AC" w:rsidRDefault="00A24662" w:rsidP="00A8554C">
      <w:pPr>
        <w:pStyle w:val="EEREBodyText"/>
      </w:pPr>
      <w:r w:rsidRPr="007C1CD8">
        <w:t xml:space="preserve">The </w:t>
      </w:r>
      <w:r w:rsidR="00735AF7" w:rsidRPr="007C1CD8">
        <w:t xml:space="preserve">utility may have maximum size allowances for net metering </w:t>
      </w:r>
      <w:r w:rsidR="00F51862" w:rsidRPr="007C1CD8">
        <w:t>eligibility</w:t>
      </w:r>
      <w:r w:rsidR="00735AF7" w:rsidRPr="007C1CD8">
        <w:t xml:space="preserve">. </w:t>
      </w:r>
      <w:r w:rsidR="00E847A4" w:rsidRPr="007C1CD8">
        <w:t>Particularly for solar</w:t>
      </w:r>
      <w:r w:rsidR="00031BAD" w:rsidRPr="007C1CD8">
        <w:t xml:space="preserve"> PV (which can be categorized by its DC or AC capacity)</w:t>
      </w:r>
      <w:r w:rsidR="00E847A4" w:rsidRPr="007C1CD8">
        <w:t>, i</w:t>
      </w:r>
      <w:r w:rsidR="00735AF7" w:rsidRPr="007C1CD8">
        <w:t xml:space="preserve">t is important to clearly define whether these maximum sizes </w:t>
      </w:r>
      <w:r w:rsidR="00031BAD" w:rsidRPr="007C1CD8">
        <w:t xml:space="preserve">are </w:t>
      </w:r>
      <w:r w:rsidR="00102B87" w:rsidRPr="007C1CD8">
        <w:t xml:space="preserve">determined by the </w:t>
      </w:r>
      <w:r w:rsidR="00EE1A82" w:rsidRPr="007C1CD8">
        <w:t xml:space="preserve">solar </w:t>
      </w:r>
      <w:r w:rsidR="00102B87" w:rsidRPr="007C1CD8">
        <w:t>PV</w:t>
      </w:r>
      <w:r w:rsidR="00EE1A82" w:rsidRPr="007C1CD8">
        <w:t xml:space="preserve"> modules’</w:t>
      </w:r>
      <w:r w:rsidR="00102B87" w:rsidRPr="007C1CD8">
        <w:t xml:space="preserve"> </w:t>
      </w:r>
      <w:r w:rsidR="00EE1A82" w:rsidRPr="007C1CD8">
        <w:t xml:space="preserve">nameplate (DC) </w:t>
      </w:r>
      <w:r w:rsidR="00102B87" w:rsidRPr="007C1CD8">
        <w:t>or inverter size</w:t>
      </w:r>
      <w:r w:rsidR="00EE1A82" w:rsidRPr="007C1CD8">
        <w:t xml:space="preserve"> (AC</w:t>
      </w:r>
      <w:r w:rsidR="00785D3A" w:rsidRPr="007C1CD8">
        <w:t>)</w:t>
      </w:r>
      <w:r w:rsidR="00031BAD" w:rsidRPr="007C1CD8">
        <w:t>.</w:t>
      </w:r>
      <w:r w:rsidR="00102B87" w:rsidRPr="007C1CD8">
        <w:t xml:space="preserve"> </w:t>
      </w:r>
    </w:p>
    <w:p w14:paraId="4CFA2FD7" w14:textId="14B2CF57" w:rsidR="00957A5C" w:rsidRDefault="00957A5C" w:rsidP="00A8554C">
      <w:pPr>
        <w:pStyle w:val="EEREBodyText"/>
      </w:pPr>
    </w:p>
    <w:p w14:paraId="2AC90523" w14:textId="77777777" w:rsidR="00957A5C" w:rsidRPr="007C1CD8" w:rsidRDefault="00957A5C" w:rsidP="00A8554C">
      <w:pPr>
        <w:pStyle w:val="EEREBodyText"/>
      </w:pPr>
    </w:p>
    <w:p w14:paraId="56DD7F2C" w14:textId="1396E7F0" w:rsidR="00BB154A" w:rsidRPr="007C1CD8" w:rsidRDefault="002B5EF5" w:rsidP="00A62E7F">
      <w:pPr>
        <w:pStyle w:val="Style1"/>
        <w:spacing w:before="0" w:after="120"/>
      </w:pPr>
      <w:sdt>
        <w:sdtPr>
          <w:rPr>
            <w:rFonts w:ascii="Franklin Gothic Book" w:hAnsi="Franklin Gothic Book"/>
          </w:rPr>
          <w:id w:val="-1159925736"/>
          <w15:appearance w15:val="hidden"/>
          <w14:checkbox>
            <w14:checked w14:val="0"/>
            <w14:checkedState w14:val="2612" w14:font="MS Gothic"/>
            <w14:uncheckedState w14:val="2610" w14:font="MS Gothic"/>
          </w14:checkbox>
        </w:sdtPr>
        <w:sdtEndPr/>
        <w:sdtContent>
          <w:r w:rsidR="00774780" w:rsidRPr="00A8554C">
            <w:rPr>
              <w:rFonts w:ascii="Segoe UI Symbol" w:eastAsia="MS Gothic" w:hAnsi="Segoe UI Symbol" w:cs="Segoe UI Symbol"/>
            </w:rPr>
            <w:t>☐</w:t>
          </w:r>
        </w:sdtContent>
      </w:sdt>
      <w:r w:rsidR="00774780" w:rsidRPr="00A8554C">
        <w:rPr>
          <w:rFonts w:ascii="Franklin Gothic Book" w:hAnsi="Franklin Gothic Book"/>
        </w:rPr>
        <w:t xml:space="preserve"> </w:t>
      </w:r>
      <w:r w:rsidR="00985187" w:rsidRPr="00A8554C">
        <w:rPr>
          <w:rFonts w:ascii="Franklin Gothic Book" w:hAnsi="Franklin Gothic Book"/>
        </w:rPr>
        <w:t xml:space="preserve">Understand </w:t>
      </w:r>
      <w:r w:rsidR="00B25124" w:rsidRPr="00A8554C">
        <w:rPr>
          <w:rFonts w:ascii="Franklin Gothic Book" w:hAnsi="Franklin Gothic Book"/>
        </w:rPr>
        <w:t>how your</w:t>
      </w:r>
      <w:r w:rsidR="00985187" w:rsidRPr="00A8554C">
        <w:rPr>
          <w:rFonts w:ascii="Franklin Gothic Book" w:hAnsi="Franklin Gothic Book"/>
        </w:rPr>
        <w:t xml:space="preserve"> utility compensat</w:t>
      </w:r>
      <w:r w:rsidR="00B25124" w:rsidRPr="00A8554C">
        <w:rPr>
          <w:rFonts w:ascii="Franklin Gothic Book" w:hAnsi="Franklin Gothic Book"/>
        </w:rPr>
        <w:t xml:space="preserve">es </w:t>
      </w:r>
      <w:r w:rsidR="00985187" w:rsidRPr="00A8554C">
        <w:rPr>
          <w:rFonts w:ascii="Franklin Gothic Book" w:hAnsi="Franklin Gothic Book"/>
        </w:rPr>
        <w:t>net excess generation</w:t>
      </w:r>
      <w:r w:rsidR="00102B87" w:rsidRPr="00A8554C">
        <w:rPr>
          <w:rFonts w:ascii="Franklin Gothic Book" w:hAnsi="Franklin Gothic Book"/>
        </w:rPr>
        <w:t xml:space="preserve"> under </w:t>
      </w:r>
      <w:r w:rsidR="00F437D2" w:rsidRPr="00A8554C">
        <w:rPr>
          <w:rFonts w:ascii="Franklin Gothic Book" w:hAnsi="Franklin Gothic Book"/>
        </w:rPr>
        <w:t xml:space="preserve">a </w:t>
      </w:r>
      <w:r w:rsidR="00102B87" w:rsidRPr="00A8554C">
        <w:rPr>
          <w:rFonts w:ascii="Franklin Gothic Book" w:hAnsi="Franklin Gothic Book"/>
        </w:rPr>
        <w:t>net metering program</w:t>
      </w:r>
      <w:r w:rsidR="00F437D2" w:rsidRPr="00A8554C">
        <w:rPr>
          <w:rFonts w:ascii="Franklin Gothic Book" w:hAnsi="Franklin Gothic Book"/>
        </w:rPr>
        <w:t xml:space="preserve"> and the impacts on the DE project’s cost-effectiveness</w:t>
      </w:r>
      <w:r w:rsidR="00985187" w:rsidRPr="00A8554C">
        <w:rPr>
          <w:rFonts w:ascii="Franklin Gothic Book" w:hAnsi="Franklin Gothic Book"/>
        </w:rPr>
        <w:t>.</w:t>
      </w:r>
      <w:r w:rsidR="007F573C" w:rsidRPr="007C1CD8">
        <w:t xml:space="preserve"> </w:t>
      </w:r>
    </w:p>
    <w:p w14:paraId="25A28F75" w14:textId="350A2313" w:rsidR="00A8554C" w:rsidRDefault="00031BAD" w:rsidP="00A8554C">
      <w:pPr>
        <w:pStyle w:val="EEREBodyText"/>
      </w:pPr>
      <w:r w:rsidRPr="007C1CD8">
        <w:t xml:space="preserve">If </w:t>
      </w:r>
      <w:r w:rsidR="00A24662" w:rsidRPr="007C1CD8">
        <w:t xml:space="preserve">the </w:t>
      </w:r>
      <w:r w:rsidR="00102B87" w:rsidRPr="007C1CD8">
        <w:t xml:space="preserve">electricity from a </w:t>
      </w:r>
      <w:r w:rsidR="000A13F6" w:rsidRPr="007C1CD8">
        <w:t xml:space="preserve">net metered </w:t>
      </w:r>
      <w:r w:rsidR="00102B87" w:rsidRPr="007C1CD8">
        <w:t xml:space="preserve">DE </w:t>
      </w:r>
      <w:r w:rsidRPr="007C1CD8">
        <w:t xml:space="preserve">project exceeds </w:t>
      </w:r>
      <w:r w:rsidR="00102B87" w:rsidRPr="007C1CD8">
        <w:t>the</w:t>
      </w:r>
      <w:r w:rsidRPr="007C1CD8">
        <w:t xml:space="preserve"> </w:t>
      </w:r>
      <w:r w:rsidR="004F1D79" w:rsidRPr="007C1CD8">
        <w:t xml:space="preserve">site’s </w:t>
      </w:r>
      <w:r w:rsidRPr="007C1CD8">
        <w:t>load</w:t>
      </w:r>
      <w:r w:rsidR="00102B87" w:rsidRPr="007C1CD8">
        <w:t xml:space="preserve"> over a certain </w:t>
      </w:r>
      <w:r w:rsidR="00FB660E" w:rsidRPr="007C1CD8">
        <w:t>period</w:t>
      </w:r>
      <w:r w:rsidR="00102B87" w:rsidRPr="007C1CD8">
        <w:t xml:space="preserve"> (such as a month)</w:t>
      </w:r>
      <w:r w:rsidRPr="007C1CD8">
        <w:t>,</w:t>
      </w:r>
      <w:r w:rsidR="00102B87" w:rsidRPr="007C1CD8">
        <w:t xml:space="preserve"> this excess electricity may be rolled over to the next month</w:t>
      </w:r>
      <w:r w:rsidR="000A13F6" w:rsidRPr="007C1CD8">
        <w:t xml:space="preserve"> (typically settled on a yearly basis). O</w:t>
      </w:r>
      <w:r w:rsidR="004F1D79" w:rsidRPr="007C1CD8">
        <w:t>therwise</w:t>
      </w:r>
      <w:r w:rsidR="000A13F6" w:rsidRPr="007C1CD8">
        <w:t>,</w:t>
      </w:r>
      <w:r w:rsidR="004F1D79" w:rsidRPr="007C1CD8">
        <w:t xml:space="preserve"> the </w:t>
      </w:r>
      <w:r w:rsidR="007F573C" w:rsidRPr="007C1CD8">
        <w:t>site is paid based on a</w:t>
      </w:r>
      <w:r w:rsidR="00102B87" w:rsidRPr="007C1CD8">
        <w:t xml:space="preserve"> </w:t>
      </w:r>
      <w:r w:rsidR="007F573C" w:rsidRPr="007C1CD8">
        <w:t>wholesale</w:t>
      </w:r>
      <w:r w:rsidR="000A13F6" w:rsidRPr="007C1CD8">
        <w:t xml:space="preserve"> rate</w:t>
      </w:r>
      <w:r w:rsidR="007F573C" w:rsidRPr="007C1CD8">
        <w:t>, avoided cost</w:t>
      </w:r>
      <w:r w:rsidR="000A13F6" w:rsidRPr="007C1CD8">
        <w:t>,</w:t>
      </w:r>
      <w:r w:rsidR="007F573C" w:rsidRPr="007C1CD8">
        <w:t xml:space="preserve"> </w:t>
      </w:r>
      <w:r w:rsidR="00102B87" w:rsidRPr="007C1CD8">
        <w:t xml:space="preserve">or </w:t>
      </w:r>
      <w:r w:rsidR="007F573C" w:rsidRPr="007C1CD8">
        <w:t xml:space="preserve">in some cases, </w:t>
      </w:r>
      <w:r w:rsidR="00102B87" w:rsidRPr="007C1CD8">
        <w:t>no compensation</w:t>
      </w:r>
      <w:r w:rsidR="007F573C" w:rsidRPr="007C1CD8">
        <w:t xml:space="preserve"> at all</w:t>
      </w:r>
      <w:r w:rsidR="00102B87" w:rsidRPr="007C1CD8">
        <w:t xml:space="preserve">. </w:t>
      </w:r>
      <w:r w:rsidRPr="007C1CD8">
        <w:t xml:space="preserve">If </w:t>
      </w:r>
      <w:r w:rsidR="00A24662" w:rsidRPr="007C1CD8">
        <w:t xml:space="preserve">the </w:t>
      </w:r>
      <w:r w:rsidRPr="007C1CD8">
        <w:t xml:space="preserve">project does receive compensation for excess generation, you should ask </w:t>
      </w:r>
      <w:r w:rsidR="00A24662" w:rsidRPr="007C1CD8">
        <w:t xml:space="preserve">the </w:t>
      </w:r>
      <w:r w:rsidRPr="007C1CD8">
        <w:t>utility how</w:t>
      </w:r>
      <w:r w:rsidR="000A13F6" w:rsidRPr="007C1CD8">
        <w:t xml:space="preserve"> the agency will be paid (bill credit, check payment) and how </w:t>
      </w:r>
      <w:r w:rsidRPr="007C1CD8">
        <w:t>often.</w:t>
      </w:r>
      <w:r w:rsidR="00EE1A82" w:rsidRPr="007C1CD8">
        <w:t xml:space="preserve"> </w:t>
      </w:r>
    </w:p>
    <w:p w14:paraId="60F04CD1" w14:textId="77777777" w:rsidR="00957A5C" w:rsidRPr="007C1CD8" w:rsidRDefault="00957A5C" w:rsidP="00A8554C">
      <w:pPr>
        <w:pStyle w:val="EEREBodyText"/>
      </w:pPr>
    </w:p>
    <w:p w14:paraId="26785C23" w14:textId="3C0D7873" w:rsidR="00774780" w:rsidRPr="00A8554C" w:rsidRDefault="002B5EF5" w:rsidP="00A62E7F">
      <w:pPr>
        <w:pStyle w:val="Style1"/>
        <w:spacing w:before="0" w:after="120"/>
        <w:rPr>
          <w:rFonts w:ascii="Franklin Gothic Book" w:hAnsi="Franklin Gothic Book"/>
        </w:rPr>
      </w:pPr>
      <w:sdt>
        <w:sdtPr>
          <w:id w:val="-1084674371"/>
          <w15:appearance w15:val="hidden"/>
          <w14:checkbox>
            <w14:checked w14:val="0"/>
            <w14:checkedState w14:val="2612" w14:font="MS Gothic"/>
            <w14:uncheckedState w14:val="2610" w14:font="MS Gothic"/>
          </w14:checkbox>
        </w:sdtPr>
        <w:sdtEndPr/>
        <w:sdtContent>
          <w:r w:rsidR="00774780" w:rsidRPr="007C1CD8">
            <w:rPr>
              <w:rFonts w:ascii="MS Gothic" w:eastAsia="MS Gothic" w:hAnsi="MS Gothic" w:hint="eastAsia"/>
            </w:rPr>
            <w:t>☐</w:t>
          </w:r>
        </w:sdtContent>
      </w:sdt>
      <w:r w:rsidR="00774780" w:rsidRPr="00A8554C">
        <w:rPr>
          <w:rFonts w:ascii="Franklin Gothic Book" w:hAnsi="Franklin Gothic Book"/>
        </w:rPr>
        <w:t xml:space="preserve"> Confirm </w:t>
      </w:r>
      <w:r w:rsidR="00985187" w:rsidRPr="00A8554C">
        <w:rPr>
          <w:rFonts w:ascii="Franklin Gothic Book" w:hAnsi="Franklin Gothic Book"/>
        </w:rPr>
        <w:t>Renewable Energy Certificate (REC)</w:t>
      </w:r>
      <w:r w:rsidR="00774780" w:rsidRPr="00A8554C">
        <w:rPr>
          <w:rFonts w:ascii="Franklin Gothic Book" w:hAnsi="Franklin Gothic Book"/>
        </w:rPr>
        <w:t xml:space="preserve"> ownership</w:t>
      </w:r>
      <w:r w:rsidR="005D0274" w:rsidRPr="00A8554C">
        <w:rPr>
          <w:rFonts w:ascii="Franklin Gothic Book" w:hAnsi="Franklin Gothic Book"/>
        </w:rPr>
        <w:t xml:space="preserve"> from renewable energy project generation</w:t>
      </w:r>
      <w:r w:rsidR="007F573C" w:rsidRPr="00A8554C">
        <w:rPr>
          <w:rFonts w:ascii="Franklin Gothic Book" w:hAnsi="Franklin Gothic Book"/>
        </w:rPr>
        <w:t xml:space="preserve"> if the project will take advantage of net metering and/or any other utility incentive program.</w:t>
      </w:r>
    </w:p>
    <w:p w14:paraId="6089350A" w14:textId="7DBFE19D" w:rsidR="00985187" w:rsidRDefault="00B472B6" w:rsidP="00A8554C">
      <w:pPr>
        <w:pStyle w:val="EEREBodyText"/>
      </w:pPr>
      <w:r w:rsidRPr="007C1CD8">
        <w:t xml:space="preserve">The </w:t>
      </w:r>
      <w:r w:rsidR="00985187" w:rsidRPr="007C1CD8">
        <w:t xml:space="preserve">DE project may generate RECs, if it is a qualifying renewable energy technology. If so, confirm with </w:t>
      </w:r>
      <w:r w:rsidR="00A24662" w:rsidRPr="007C1CD8">
        <w:t xml:space="preserve">the </w:t>
      </w:r>
      <w:r w:rsidR="00985187" w:rsidRPr="007C1CD8">
        <w:t xml:space="preserve">utility whether your agency will </w:t>
      </w:r>
      <w:r w:rsidR="007F573C" w:rsidRPr="007C1CD8">
        <w:t>own the project</w:t>
      </w:r>
      <w:r w:rsidR="00EE1A82" w:rsidRPr="007C1CD8">
        <w:t>,</w:t>
      </w:r>
      <w:r w:rsidR="007F573C" w:rsidRPr="007C1CD8">
        <w:t xml:space="preserve"> as some utilities take ownership of the RECs associated with any exported electricity (or in some limited cases, they will take ownership of all project RECs under net metering, regardless of the actual amount of exported electricity)</w:t>
      </w:r>
      <w:r w:rsidR="00985187" w:rsidRPr="007C1CD8">
        <w:t>.</w:t>
      </w:r>
      <w:r w:rsidR="007F573C" w:rsidRPr="007C1CD8">
        <w:t xml:space="preserve"> The utility may take ownership of the RECs if they provide other incentives such as rebates</w:t>
      </w:r>
      <w:r w:rsidR="00EE1A82" w:rsidRPr="007C1CD8">
        <w:t xml:space="preserve"> as well</w:t>
      </w:r>
      <w:r w:rsidR="007F573C" w:rsidRPr="007C1CD8">
        <w:t>.</w:t>
      </w:r>
      <w:r w:rsidR="00985187" w:rsidRPr="007C1CD8">
        <w:t xml:space="preserve"> </w:t>
      </w:r>
    </w:p>
    <w:p w14:paraId="453F2F42" w14:textId="77777777" w:rsidR="00957A5C" w:rsidRPr="007C1CD8" w:rsidRDefault="00957A5C" w:rsidP="00A8554C">
      <w:pPr>
        <w:pStyle w:val="EEREBodyText"/>
      </w:pPr>
    </w:p>
    <w:p w14:paraId="060FAFA7" w14:textId="1E0AED82" w:rsidR="00774780" w:rsidRPr="007C1CD8" w:rsidRDefault="002B5EF5" w:rsidP="00A62E7F">
      <w:pPr>
        <w:pStyle w:val="Style1"/>
        <w:spacing w:before="0" w:after="120"/>
      </w:pPr>
      <w:sdt>
        <w:sdtPr>
          <w:rPr>
            <w:rFonts w:ascii="Franklin Gothic Book" w:hAnsi="Franklin Gothic Book"/>
          </w:rPr>
          <w:id w:val="-454645597"/>
          <w15:appearance w15:val="hidden"/>
          <w14:checkbox>
            <w14:checked w14:val="0"/>
            <w14:checkedState w14:val="2612" w14:font="MS Gothic"/>
            <w14:uncheckedState w14:val="2610" w14:font="MS Gothic"/>
          </w14:checkbox>
        </w:sdtPr>
        <w:sdtEndPr/>
        <w:sdtContent>
          <w:r w:rsidR="00774780" w:rsidRPr="00A8554C">
            <w:rPr>
              <w:rFonts w:ascii="Segoe UI Symbol" w:eastAsia="MS Gothic" w:hAnsi="Segoe UI Symbol" w:cs="Segoe UI Symbol"/>
            </w:rPr>
            <w:t>☐</w:t>
          </w:r>
        </w:sdtContent>
      </w:sdt>
      <w:r w:rsidR="00774780" w:rsidRPr="00A8554C">
        <w:rPr>
          <w:rFonts w:ascii="Franklin Gothic Book" w:hAnsi="Franklin Gothic Book"/>
        </w:rPr>
        <w:t xml:space="preserve"> Determine whether </w:t>
      </w:r>
      <w:r w:rsidR="00823327" w:rsidRPr="00A8554C">
        <w:rPr>
          <w:rFonts w:ascii="Franklin Gothic Book" w:hAnsi="Franklin Gothic Book"/>
        </w:rPr>
        <w:t>there are other relevant policies</w:t>
      </w:r>
      <w:r w:rsidR="00B25124" w:rsidRPr="00A8554C">
        <w:rPr>
          <w:rFonts w:ascii="Franklin Gothic Book" w:hAnsi="Franklin Gothic Book"/>
        </w:rPr>
        <w:t>,</w:t>
      </w:r>
      <w:r w:rsidR="00823327" w:rsidRPr="00A8554C">
        <w:rPr>
          <w:rFonts w:ascii="Franklin Gothic Book" w:hAnsi="Franklin Gothic Book"/>
        </w:rPr>
        <w:t xml:space="preserve"> such as </w:t>
      </w:r>
      <w:r w:rsidR="00AD7245" w:rsidRPr="00A8554C">
        <w:rPr>
          <w:rFonts w:ascii="Franklin Gothic Book" w:hAnsi="Franklin Gothic Book"/>
        </w:rPr>
        <w:t>virtual net metering</w:t>
      </w:r>
      <w:r w:rsidR="007F573C" w:rsidRPr="00A8554C">
        <w:rPr>
          <w:rFonts w:ascii="Franklin Gothic Book" w:hAnsi="Franklin Gothic Book"/>
        </w:rPr>
        <w:t xml:space="preserve"> or </w:t>
      </w:r>
      <w:r w:rsidR="00021D6D" w:rsidRPr="00A8554C">
        <w:rPr>
          <w:rFonts w:ascii="Franklin Gothic Book" w:hAnsi="Franklin Gothic Book"/>
        </w:rPr>
        <w:t xml:space="preserve">a </w:t>
      </w:r>
      <w:r w:rsidR="007F573C" w:rsidRPr="00A8554C">
        <w:rPr>
          <w:rFonts w:ascii="Franklin Gothic Book" w:hAnsi="Franklin Gothic Book"/>
        </w:rPr>
        <w:t>feed-in tariff</w:t>
      </w:r>
      <w:r w:rsidR="003A49AC" w:rsidRPr="00A8554C">
        <w:rPr>
          <w:rFonts w:ascii="Franklin Gothic Book" w:hAnsi="Franklin Gothic Book"/>
        </w:rPr>
        <w:t>,</w:t>
      </w:r>
      <w:r w:rsidR="00823327" w:rsidRPr="00A8554C">
        <w:rPr>
          <w:rFonts w:ascii="Franklin Gothic Book" w:hAnsi="Franklin Gothic Book"/>
        </w:rPr>
        <w:t xml:space="preserve"> that are applicable</w:t>
      </w:r>
      <w:r w:rsidR="005A0BFF" w:rsidRPr="00A8554C">
        <w:rPr>
          <w:rFonts w:ascii="Franklin Gothic Book" w:hAnsi="Franklin Gothic Book"/>
        </w:rPr>
        <w:t xml:space="preserve"> </w:t>
      </w:r>
      <w:r w:rsidR="00774780" w:rsidRPr="00A8554C">
        <w:rPr>
          <w:rFonts w:ascii="Franklin Gothic Book" w:hAnsi="Franklin Gothic Book"/>
        </w:rPr>
        <w:t xml:space="preserve">to </w:t>
      </w:r>
      <w:r w:rsidR="00B472B6" w:rsidRPr="00A8554C">
        <w:rPr>
          <w:rFonts w:ascii="Franklin Gothic Book" w:hAnsi="Franklin Gothic Book"/>
        </w:rPr>
        <w:t xml:space="preserve">the </w:t>
      </w:r>
      <w:r w:rsidR="00774780" w:rsidRPr="00A8554C">
        <w:rPr>
          <w:rFonts w:ascii="Franklin Gothic Book" w:hAnsi="Franklin Gothic Book"/>
        </w:rPr>
        <w:t>project</w:t>
      </w:r>
      <w:r w:rsidR="005D0274" w:rsidRPr="00A8554C">
        <w:rPr>
          <w:rFonts w:ascii="Franklin Gothic Book" w:hAnsi="Franklin Gothic Book"/>
        </w:rPr>
        <w:t>.</w:t>
      </w:r>
      <w:r w:rsidR="00774780" w:rsidRPr="00A8554C">
        <w:rPr>
          <w:rFonts w:ascii="Franklin Gothic Book" w:hAnsi="Franklin Gothic Book"/>
        </w:rPr>
        <w:t xml:space="preserve"> </w:t>
      </w:r>
      <w:r w:rsidR="00823327" w:rsidRPr="00A8554C">
        <w:rPr>
          <w:rFonts w:ascii="Franklin Gothic Book" w:hAnsi="Franklin Gothic Book"/>
        </w:rPr>
        <w:t>If so, understand the policy details.</w:t>
      </w:r>
    </w:p>
    <w:p w14:paraId="1400C451" w14:textId="2404CE1F" w:rsidR="007C1CD8" w:rsidRDefault="00F45691" w:rsidP="00A8554C">
      <w:pPr>
        <w:pStyle w:val="EEREBodyText"/>
      </w:pPr>
      <w:r w:rsidRPr="007C1CD8">
        <w:t xml:space="preserve">Special policies such as virtual net metering </w:t>
      </w:r>
      <w:r w:rsidR="007F573C" w:rsidRPr="007C1CD8">
        <w:t>may be beneficial if the agency owns multiple sites in a utility’s service territory and wants a large project at one</w:t>
      </w:r>
      <w:r w:rsidR="00165DD3">
        <w:t xml:space="preserve"> site</w:t>
      </w:r>
      <w:r w:rsidR="007F573C" w:rsidRPr="007C1CD8">
        <w:t xml:space="preserve"> to “serve” the other sites. However, the</w:t>
      </w:r>
      <w:r w:rsidR="00021D6D" w:rsidRPr="007C1CD8">
        <w:t>se programs</w:t>
      </w:r>
      <w:r w:rsidR="007F573C" w:rsidRPr="007C1CD8">
        <w:t xml:space="preserve"> </w:t>
      </w:r>
      <w:r w:rsidRPr="007C1CD8">
        <w:t xml:space="preserve">are only offered by some utilities, and </w:t>
      </w:r>
      <w:r w:rsidR="00021D6D" w:rsidRPr="007C1CD8">
        <w:t xml:space="preserve">even if offered, </w:t>
      </w:r>
      <w:r w:rsidRPr="007C1CD8">
        <w:t xml:space="preserve">may not apply to </w:t>
      </w:r>
      <w:r w:rsidR="00B472B6" w:rsidRPr="007C1CD8">
        <w:t xml:space="preserve">the </w:t>
      </w:r>
      <w:r w:rsidR="00165DD3">
        <w:t xml:space="preserve">proposed </w:t>
      </w:r>
      <w:r w:rsidR="00021D6D" w:rsidRPr="007C1CD8">
        <w:t xml:space="preserve">DE </w:t>
      </w:r>
      <w:r w:rsidRPr="007C1CD8">
        <w:t xml:space="preserve">project. </w:t>
      </w:r>
    </w:p>
    <w:p w14:paraId="67643840" w14:textId="77777777" w:rsidR="00957A5C" w:rsidRDefault="00957A5C" w:rsidP="00A8554C">
      <w:pPr>
        <w:pStyle w:val="EEREBodyText"/>
        <w:rPr>
          <w:rFonts w:ascii="Helvetica" w:hAnsi="Helvetica"/>
        </w:rPr>
      </w:pPr>
    </w:p>
    <w:p w14:paraId="548F2997" w14:textId="31BDEE8A" w:rsidR="006C763A" w:rsidRPr="00A8554C" w:rsidRDefault="00BB154A" w:rsidP="00A8554C">
      <w:pPr>
        <w:pStyle w:val="Heading1"/>
        <w:pBdr>
          <w:top w:val="single" w:sz="18" w:space="1" w:color="C3C8C8"/>
        </w:pBdr>
        <w:spacing w:before="0" w:after="120"/>
        <w:rPr>
          <w:rFonts w:ascii="Franklin Gothic Medium" w:hAnsi="Franklin Gothic Medium"/>
          <w:b w:val="0"/>
          <w:bCs/>
          <w:color w:val="5E6A71"/>
        </w:rPr>
      </w:pPr>
      <w:r w:rsidRPr="00A8554C">
        <w:rPr>
          <w:rFonts w:ascii="Franklin Gothic Medium" w:hAnsi="Franklin Gothic Medium"/>
          <w:b w:val="0"/>
          <w:bCs/>
          <w:color w:val="5E6A71"/>
        </w:rPr>
        <w:t>Commissioning</w:t>
      </w:r>
      <w:r w:rsidR="00021D6D" w:rsidRPr="00A8554C">
        <w:rPr>
          <w:rFonts w:ascii="Franklin Gothic Medium" w:hAnsi="Franklin Gothic Medium"/>
          <w:b w:val="0"/>
          <w:bCs/>
          <w:color w:val="5E6A71"/>
        </w:rPr>
        <w:t>, System Acceptance Testing</w:t>
      </w:r>
      <w:r w:rsidR="00A8554C" w:rsidRPr="00A8554C">
        <w:rPr>
          <w:rFonts w:ascii="Franklin Gothic Medium" w:hAnsi="Franklin Gothic Medium"/>
          <w:b w:val="0"/>
          <w:bCs/>
          <w:color w:val="5E6A71"/>
        </w:rPr>
        <w:t>,</w:t>
      </w:r>
      <w:r w:rsidRPr="00A8554C">
        <w:rPr>
          <w:rFonts w:ascii="Franklin Gothic Medium" w:hAnsi="Franklin Gothic Medium"/>
          <w:b w:val="0"/>
          <w:bCs/>
          <w:color w:val="5E6A71"/>
        </w:rPr>
        <w:t xml:space="preserve"> and </w:t>
      </w:r>
      <w:r w:rsidR="006927BD" w:rsidRPr="00A8554C">
        <w:rPr>
          <w:rFonts w:ascii="Franklin Gothic Medium" w:hAnsi="Franklin Gothic Medium"/>
          <w:b w:val="0"/>
          <w:bCs/>
          <w:color w:val="5E6A71"/>
        </w:rPr>
        <w:t>Permission to Operate</w:t>
      </w:r>
      <w:r w:rsidR="005D0274" w:rsidRPr="00A8554C">
        <w:rPr>
          <w:rFonts w:ascii="Franklin Gothic Medium" w:hAnsi="Franklin Gothic Medium"/>
          <w:b w:val="0"/>
          <w:bCs/>
          <w:color w:val="5E6A71"/>
        </w:rPr>
        <w:t xml:space="preserve"> (PTO)</w:t>
      </w:r>
    </w:p>
    <w:p w14:paraId="419004C4" w14:textId="77777777" w:rsidR="00882A96" w:rsidRPr="007C1CD8" w:rsidRDefault="002B5EF5" w:rsidP="00882A96">
      <w:pPr>
        <w:pStyle w:val="Style1"/>
        <w:spacing w:before="0" w:after="120"/>
      </w:pPr>
      <w:sdt>
        <w:sdtPr>
          <w:rPr>
            <w:rFonts w:ascii="Franklin Gothic Book" w:hAnsi="Franklin Gothic Book"/>
          </w:rPr>
          <w:id w:val="1799027282"/>
          <w15:appearance w15:val="hidden"/>
          <w14:checkbox>
            <w14:checked w14:val="0"/>
            <w14:checkedState w14:val="2612" w14:font="MS Gothic"/>
            <w14:uncheckedState w14:val="2610" w14:font="MS Gothic"/>
          </w14:checkbox>
        </w:sdtPr>
        <w:sdtEndPr/>
        <w:sdtContent>
          <w:r w:rsidR="00882A96" w:rsidRPr="00A8554C">
            <w:rPr>
              <w:rFonts w:ascii="Segoe UI Symbol" w:eastAsia="MS Gothic" w:hAnsi="Segoe UI Symbol" w:cs="Segoe UI Symbol"/>
            </w:rPr>
            <w:t>☐</w:t>
          </w:r>
        </w:sdtContent>
      </w:sdt>
      <w:r w:rsidR="00882A96" w:rsidRPr="00A8554C">
        <w:rPr>
          <w:rFonts w:ascii="Franklin Gothic Book" w:hAnsi="Franklin Gothic Book"/>
        </w:rPr>
        <w:t xml:space="preserve"> Clarify the agency’s and DE project contractor’s roles and responsibilities in obtaining PTO.</w:t>
      </w:r>
    </w:p>
    <w:p w14:paraId="4D13B775" w14:textId="0ACEE9E9" w:rsidR="00882A96" w:rsidRDefault="00882A96" w:rsidP="00A8554C">
      <w:pPr>
        <w:pStyle w:val="EEREBodyText"/>
      </w:pPr>
      <w:r w:rsidRPr="007C1CD8">
        <w:t>Clarify whether the agency or DE project contractor will submit documentation to obtain written PTO, if required. Establish a schedule for when documents must be provided to the utility and designate a</w:t>
      </w:r>
      <w:r>
        <w:t xml:space="preserve">n agency or contractor individual </w:t>
      </w:r>
      <w:r w:rsidRPr="007C1CD8">
        <w:t xml:space="preserve">to follow-up periodically with the utility </w:t>
      </w:r>
      <w:r>
        <w:t>to keep the PTO process moving.</w:t>
      </w:r>
    </w:p>
    <w:p w14:paraId="3EF05062" w14:textId="77777777" w:rsidR="00957A5C" w:rsidRPr="007C1CD8" w:rsidRDefault="00957A5C" w:rsidP="00A8554C">
      <w:pPr>
        <w:pStyle w:val="EEREBodyText"/>
      </w:pPr>
    </w:p>
    <w:p w14:paraId="46E25F48" w14:textId="04C5E521" w:rsidR="00492320" w:rsidRPr="00A8554C" w:rsidRDefault="002B5EF5" w:rsidP="00A62E7F">
      <w:pPr>
        <w:pStyle w:val="Style1"/>
        <w:spacing w:before="0" w:after="120"/>
        <w:rPr>
          <w:rFonts w:ascii="Franklin Gothic Book" w:hAnsi="Franklin Gothic Book"/>
        </w:rPr>
      </w:pPr>
      <w:sdt>
        <w:sdtPr>
          <w:rPr>
            <w:rFonts w:ascii="Franklin Gothic Book" w:hAnsi="Franklin Gothic Book"/>
          </w:rPr>
          <w:id w:val="698666424"/>
          <w15:appearance w15:val="hidden"/>
          <w14:checkbox>
            <w14:checked w14:val="0"/>
            <w14:checkedState w14:val="2612" w14:font="MS Gothic"/>
            <w14:uncheckedState w14:val="2610" w14:font="MS Gothic"/>
          </w14:checkbox>
        </w:sdtPr>
        <w:sdtEndPr/>
        <w:sdtContent>
          <w:r w:rsidR="00492320" w:rsidRPr="00A8554C">
            <w:rPr>
              <w:rFonts w:ascii="Segoe UI Symbol" w:eastAsia="MS Gothic" w:hAnsi="Segoe UI Symbol" w:cs="Segoe UI Symbol"/>
            </w:rPr>
            <w:t>☐</w:t>
          </w:r>
        </w:sdtContent>
      </w:sdt>
      <w:r w:rsidR="00492320" w:rsidRPr="00A8554C">
        <w:rPr>
          <w:rFonts w:ascii="Franklin Gothic Book" w:hAnsi="Franklin Gothic Book"/>
        </w:rPr>
        <w:t xml:space="preserve"> Confirm technical and administrative requirements </w:t>
      </w:r>
      <w:r w:rsidR="00B25124" w:rsidRPr="00A8554C">
        <w:rPr>
          <w:rFonts w:ascii="Franklin Gothic Book" w:hAnsi="Franklin Gothic Book"/>
        </w:rPr>
        <w:t xml:space="preserve">early in the design process </w:t>
      </w:r>
      <w:r w:rsidR="00492320" w:rsidRPr="00A8554C">
        <w:rPr>
          <w:rFonts w:ascii="Franklin Gothic Book" w:hAnsi="Franklin Gothic Book"/>
        </w:rPr>
        <w:t xml:space="preserve">for </w:t>
      </w:r>
      <w:r w:rsidR="00B25124" w:rsidRPr="00A8554C">
        <w:rPr>
          <w:rFonts w:ascii="Franklin Gothic Book" w:hAnsi="Franklin Gothic Book"/>
        </w:rPr>
        <w:t xml:space="preserve">the </w:t>
      </w:r>
      <w:r w:rsidR="00492320" w:rsidRPr="00A8554C">
        <w:rPr>
          <w:rFonts w:ascii="Franklin Gothic Book" w:hAnsi="Franklin Gothic Book"/>
        </w:rPr>
        <w:t xml:space="preserve">utility to issue </w:t>
      </w:r>
      <w:r w:rsidR="005D0274" w:rsidRPr="00A8554C">
        <w:rPr>
          <w:rFonts w:ascii="Franklin Gothic Book" w:hAnsi="Franklin Gothic Book"/>
        </w:rPr>
        <w:t>PTO</w:t>
      </w:r>
      <w:r w:rsidR="00232D4E" w:rsidRPr="00A8554C">
        <w:rPr>
          <w:rFonts w:ascii="Franklin Gothic Book" w:hAnsi="Franklin Gothic Book"/>
        </w:rPr>
        <w:t>.</w:t>
      </w:r>
      <w:r w:rsidR="00453F81" w:rsidRPr="00A8554C">
        <w:rPr>
          <w:rFonts w:ascii="Franklin Gothic Book" w:hAnsi="Franklin Gothic Book"/>
        </w:rPr>
        <w:t xml:space="preserve"> </w:t>
      </w:r>
    </w:p>
    <w:p w14:paraId="20C2949B" w14:textId="2448970B" w:rsidR="00AE1858" w:rsidRDefault="000667EA" w:rsidP="00A8554C">
      <w:pPr>
        <w:pStyle w:val="EEREBodyText"/>
      </w:pPr>
      <w:r w:rsidRPr="007C1CD8">
        <w:t>Most utilities will post clear instructions about their requirements</w:t>
      </w:r>
      <w:r w:rsidR="00021D6D" w:rsidRPr="007C1CD8">
        <w:t xml:space="preserve"> and timeline</w:t>
      </w:r>
      <w:r w:rsidRPr="007C1CD8">
        <w:t xml:space="preserve"> for PTO issuance on their </w:t>
      </w:r>
      <w:r w:rsidR="00394E98" w:rsidRPr="007C1CD8">
        <w:t>website or</w:t>
      </w:r>
      <w:r w:rsidRPr="007C1CD8">
        <w:t xml:space="preserve"> include these requirements within the interconnection agreement</w:t>
      </w:r>
      <w:r w:rsidR="00394E98" w:rsidRPr="007C1CD8">
        <w:t xml:space="preserve">. </w:t>
      </w:r>
      <w:r w:rsidR="00165DD3">
        <w:t xml:space="preserve">Discuss this timeline with the utility point of contact and identify potential </w:t>
      </w:r>
      <w:r w:rsidR="001611C2">
        <w:t>schedule risks, such as utility backlogs in scheduling witness testing or issuing PTO.</w:t>
      </w:r>
    </w:p>
    <w:p w14:paraId="0FD759DD" w14:textId="77777777" w:rsidR="00957A5C" w:rsidRPr="007C1CD8" w:rsidRDefault="00957A5C" w:rsidP="00A8554C">
      <w:pPr>
        <w:pStyle w:val="EEREBodyText"/>
      </w:pPr>
    </w:p>
    <w:p w14:paraId="50DE81E9" w14:textId="4841EEE9" w:rsidR="00AE1858" w:rsidRPr="007C1CD8" w:rsidRDefault="002B5EF5" w:rsidP="00A62E7F">
      <w:pPr>
        <w:pStyle w:val="Style1"/>
        <w:spacing w:before="0" w:after="120"/>
      </w:pPr>
      <w:sdt>
        <w:sdtPr>
          <w:rPr>
            <w:rFonts w:ascii="Franklin Gothic Book" w:hAnsi="Franklin Gothic Book"/>
          </w:rPr>
          <w:id w:val="-1694365339"/>
          <w15:appearance w15:val="hidden"/>
          <w14:checkbox>
            <w14:checked w14:val="0"/>
            <w14:checkedState w14:val="2612" w14:font="MS Gothic"/>
            <w14:uncheckedState w14:val="2610" w14:font="MS Gothic"/>
          </w14:checkbox>
        </w:sdtPr>
        <w:sdtEndPr/>
        <w:sdtContent>
          <w:r w:rsidR="00AE1858" w:rsidRPr="00A8554C">
            <w:rPr>
              <w:rFonts w:ascii="Segoe UI Symbol" w:eastAsia="MS Gothic" w:hAnsi="Segoe UI Symbol" w:cs="Segoe UI Symbol"/>
            </w:rPr>
            <w:t>☐</w:t>
          </w:r>
        </w:sdtContent>
      </w:sdt>
      <w:r w:rsidR="00AE1858" w:rsidRPr="00A8554C">
        <w:rPr>
          <w:rFonts w:ascii="Franklin Gothic Book" w:hAnsi="Franklin Gothic Book"/>
        </w:rPr>
        <w:t xml:space="preserve"> Obtain initial utility approval to test the system prior to commissioning</w:t>
      </w:r>
      <w:r w:rsidR="00021D6D" w:rsidRPr="00A8554C">
        <w:rPr>
          <w:rFonts w:ascii="Franklin Gothic Book" w:hAnsi="Franklin Gothic Book"/>
        </w:rPr>
        <w:t>/system acceptance testing</w:t>
      </w:r>
      <w:r w:rsidR="00AE1858" w:rsidRPr="00A8554C">
        <w:rPr>
          <w:rFonts w:ascii="Franklin Gothic Book" w:hAnsi="Franklin Gothic Book"/>
        </w:rPr>
        <w:t xml:space="preserve"> and obtain written utility PTO before commencing commercial operations.</w:t>
      </w:r>
    </w:p>
    <w:p w14:paraId="032AB8F1" w14:textId="539F3718" w:rsidR="00AE1858" w:rsidRDefault="00AE1858" w:rsidP="00A8554C">
      <w:pPr>
        <w:pStyle w:val="EEREBodyText"/>
      </w:pPr>
      <w:r w:rsidRPr="007C1CD8">
        <w:t>Once system construction is complete, be sure to notify the utility and receive approval to energize the system for commissioning</w:t>
      </w:r>
      <w:r w:rsidR="00A35E99" w:rsidRPr="007C1CD8">
        <w:t xml:space="preserve"> and system acceptance testing</w:t>
      </w:r>
      <w:r w:rsidRPr="007C1CD8">
        <w:t xml:space="preserve"> purposes. After completion of commissioning</w:t>
      </w:r>
      <w:r w:rsidR="001611C2">
        <w:t xml:space="preserve">, </w:t>
      </w:r>
      <w:r w:rsidR="00A35E99" w:rsidRPr="007C1CD8">
        <w:t>testing</w:t>
      </w:r>
      <w:r w:rsidR="001611C2">
        <w:t xml:space="preserve">, </w:t>
      </w:r>
      <w:r w:rsidRPr="007C1CD8">
        <w:t>and all requirements for PTO have been met, if the utility does not submit a written confirmation of PTO by default, the agency and contractor should request written confirmation of PTO. The system should not be energized until receipt of written PTO (or other confirmation from the utility).</w:t>
      </w:r>
    </w:p>
    <w:p w14:paraId="1E117C52" w14:textId="77777777" w:rsidR="00957A5C" w:rsidRPr="007C1CD8" w:rsidRDefault="00957A5C" w:rsidP="00A8554C">
      <w:pPr>
        <w:pStyle w:val="EEREBodyText"/>
      </w:pPr>
    </w:p>
    <w:p w14:paraId="42E18C25" w14:textId="77777777" w:rsidR="00AE1858" w:rsidRPr="007C1CD8" w:rsidRDefault="002B5EF5" w:rsidP="00A62E7F">
      <w:pPr>
        <w:pStyle w:val="Style1"/>
        <w:spacing w:before="0" w:after="120"/>
      </w:pPr>
      <w:sdt>
        <w:sdtPr>
          <w:rPr>
            <w:rFonts w:ascii="Franklin Gothic Book" w:hAnsi="Franklin Gothic Book"/>
          </w:rPr>
          <w:id w:val="-780338659"/>
          <w15:appearance w15:val="hidden"/>
          <w14:checkbox>
            <w14:checked w14:val="0"/>
            <w14:checkedState w14:val="2612" w14:font="MS Gothic"/>
            <w14:uncheckedState w14:val="2610" w14:font="MS Gothic"/>
          </w14:checkbox>
        </w:sdtPr>
        <w:sdtEndPr/>
        <w:sdtContent>
          <w:r w:rsidR="00AE1858" w:rsidRPr="00A8554C">
            <w:rPr>
              <w:rFonts w:ascii="Segoe UI Symbol" w:eastAsia="MS Gothic" w:hAnsi="Segoe UI Symbol" w:cs="Segoe UI Symbol"/>
            </w:rPr>
            <w:t>☐</w:t>
          </w:r>
        </w:sdtContent>
      </w:sdt>
      <w:r w:rsidR="00AE1858" w:rsidRPr="00A8554C">
        <w:rPr>
          <w:rFonts w:ascii="Franklin Gothic Book" w:hAnsi="Franklin Gothic Book"/>
        </w:rPr>
        <w:t xml:space="preserve"> Schedule a witness test as early as possible, if applicable.</w:t>
      </w:r>
    </w:p>
    <w:p w14:paraId="72F591CD" w14:textId="1FDB1F25" w:rsidR="00394E98" w:rsidRDefault="00394E98" w:rsidP="00A8554C">
      <w:pPr>
        <w:pStyle w:val="EEREBodyText"/>
      </w:pPr>
      <w:r w:rsidRPr="007C1CD8">
        <w:t>Many utilities will require witnes</w:t>
      </w:r>
      <w:r w:rsidR="00B83346" w:rsidRPr="007C1CD8">
        <w:t>s</w:t>
      </w:r>
      <w:r w:rsidRPr="007C1CD8">
        <w:t xml:space="preserve"> test</w:t>
      </w:r>
      <w:r w:rsidR="00B83346" w:rsidRPr="007C1CD8">
        <w:t>ing</w:t>
      </w:r>
      <w:r w:rsidRPr="007C1CD8">
        <w:t xml:space="preserve"> prior to issuing </w:t>
      </w:r>
      <w:r w:rsidR="00A35E99" w:rsidRPr="007C1CD8">
        <w:t>PTO</w:t>
      </w:r>
      <w:r w:rsidRPr="007C1CD8">
        <w:t xml:space="preserve">. </w:t>
      </w:r>
      <w:r w:rsidR="00B83346" w:rsidRPr="007C1CD8">
        <w:t>A witness test may involve scheduling an inspection of the DE project by the utility engineer to confirm proper system function</w:t>
      </w:r>
      <w:r w:rsidR="00232D4E">
        <w:t xml:space="preserve"> and</w:t>
      </w:r>
      <w:r w:rsidR="00B83346" w:rsidRPr="007C1CD8">
        <w:t xml:space="preserve"> the location of key </w:t>
      </w:r>
      <w:r w:rsidR="00A35E99" w:rsidRPr="007C1CD8">
        <w:t xml:space="preserve">safety </w:t>
      </w:r>
      <w:r w:rsidR="00B83346" w:rsidRPr="007C1CD8">
        <w:t>equipment and labelling, among other review items. C</w:t>
      </w:r>
      <w:r w:rsidRPr="007C1CD8">
        <w:t xml:space="preserve">onfirm the utility’s timelines for scheduling of witnessing tests, ask whether the utility may waive its right to a witnessing test, and attempt to schedule this witnessing test as early as possible to avoid delays. </w:t>
      </w:r>
    </w:p>
    <w:p w14:paraId="3446A19D" w14:textId="77777777" w:rsidR="00957A5C" w:rsidRPr="007C1CD8" w:rsidRDefault="00957A5C" w:rsidP="00A8554C">
      <w:pPr>
        <w:pStyle w:val="EEREBodyText"/>
      </w:pPr>
    </w:p>
    <w:sectPr w:rsidR="00957A5C" w:rsidRPr="007C1CD8" w:rsidSect="006927BD">
      <w:headerReference w:type="default" r:id="rId16"/>
      <w:footerReference w:type="default" r:id="rId17"/>
      <w:pgSz w:w="12240" w:h="15840" w:code="1"/>
      <w:pgMar w:top="1440" w:right="1440" w:bottom="1008" w:left="1440" w:header="360" w:footer="3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77D55" w14:textId="77777777" w:rsidR="0053742E" w:rsidRDefault="0053742E" w:rsidP="0047179A">
      <w:r>
        <w:separator/>
      </w:r>
    </w:p>
  </w:endnote>
  <w:endnote w:type="continuationSeparator" w:id="0">
    <w:p w14:paraId="43309261" w14:textId="77777777" w:rsidR="0053742E" w:rsidRDefault="0053742E" w:rsidP="00471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Baskerville Old Face">
    <w:panose1 w:val="02020602080505020303"/>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6111682"/>
      <w:docPartObj>
        <w:docPartGallery w:val="Page Numbers (Bottom of Page)"/>
        <w:docPartUnique/>
      </w:docPartObj>
    </w:sdtPr>
    <w:sdtEndPr>
      <w:rPr>
        <w:noProof/>
      </w:rPr>
    </w:sdtEndPr>
    <w:sdtContent>
      <w:p w14:paraId="532E7771" w14:textId="48B6401A" w:rsidR="002A5B7D" w:rsidRDefault="002A5B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9F8E4F" w14:textId="77777777" w:rsidR="007C1CD8" w:rsidRDefault="007C1C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65686" w14:textId="77777777" w:rsidR="0053742E" w:rsidRDefault="0053742E" w:rsidP="0047179A">
      <w:r>
        <w:separator/>
      </w:r>
    </w:p>
  </w:footnote>
  <w:footnote w:type="continuationSeparator" w:id="0">
    <w:p w14:paraId="4A7DBF17" w14:textId="77777777" w:rsidR="0053742E" w:rsidRDefault="0053742E" w:rsidP="00471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E9B7D" w14:textId="2014E182" w:rsidR="00B60380" w:rsidRDefault="002B5EF5" w:rsidP="002B5EF5">
    <w:pPr>
      <w:pStyle w:val="Header"/>
      <w:jc w:val="center"/>
    </w:pPr>
    <w:r>
      <w:t xml:space="preserve">Federal Energy Management Program </w:t>
    </w:r>
    <w:r>
      <w:sym w:font="Symbol" w:char="F02D"/>
    </w:r>
    <w:r>
      <w:t xml:space="preserve"> Distributed Energy Interconnection Checklist</w:t>
    </w:r>
  </w:p>
  <w:p w14:paraId="03CFDA36" w14:textId="77777777" w:rsidR="00B60380" w:rsidRDefault="00B60380">
    <w:pPr>
      <w:pStyle w:val="Header"/>
    </w:pPr>
  </w:p>
  <w:p w14:paraId="57F30E40" w14:textId="77777777" w:rsidR="00B60380" w:rsidRDefault="00B60380">
    <w:pPr>
      <w:pStyle w:val="Header"/>
    </w:pPr>
  </w:p>
  <w:p w14:paraId="227695C7" w14:textId="77777777" w:rsidR="00B60380" w:rsidRDefault="006533C1">
    <w:pPr>
      <w:pStyle w:val="Header"/>
    </w:pPr>
    <w:r>
      <w:rPr>
        <w:noProof/>
        <w:lang w:val="en-GB" w:eastAsia="en-GB"/>
      </w:rPr>
      <mc:AlternateContent>
        <mc:Choice Requires="wps">
          <w:drawing>
            <wp:anchor distT="0" distB="0" distL="114300" distR="114300" simplePos="0" relativeHeight="251657216" behindDoc="1" locked="1" layoutInCell="1" allowOverlap="1" wp14:anchorId="0E6A3ECC" wp14:editId="2E3DF585">
              <wp:simplePos x="0" y="0"/>
              <wp:positionH relativeFrom="page">
                <wp:posOffset>685800</wp:posOffset>
              </wp:positionH>
              <wp:positionV relativeFrom="page">
                <wp:posOffset>685800</wp:posOffset>
              </wp:positionV>
              <wp:extent cx="6400800" cy="8686800"/>
              <wp:effectExtent l="19050" t="19050" r="34290" b="34290"/>
              <wp:wrapNone/>
              <wp:docPr id="1" name="Rectangle 1" title="Page bord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686800"/>
                      </a:xfrm>
                      <a:prstGeom prst="rect">
                        <a:avLst/>
                      </a:prstGeom>
                      <a:noFill/>
                      <a:ln w="50800">
                        <a:solidFill>
                          <a:srgbClr val="5E6A71"/>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82400</wp14:pctWidth>
              </wp14:sizeRelH>
              <wp14:sizeRelV relativeFrom="page">
                <wp14:pctHeight>86400</wp14:pctHeight>
              </wp14:sizeRelV>
            </wp:anchor>
          </w:drawing>
        </mc:Choice>
        <mc:Fallback>
          <w:pict>
            <v:rect w14:anchorId="38FDD15C" id="Rectangle 1" o:spid="_x0000_s1026" alt="Title: Page border" style="position:absolute;margin-left:54pt;margin-top:54pt;width:7in;height:684pt;z-index:-251659264;visibility:visible;mso-wrap-style:square;mso-width-percent:824;mso-height-percent:864;mso-wrap-distance-left:9pt;mso-wrap-distance-top:0;mso-wrap-distance-right:9pt;mso-wrap-distance-bottom:0;mso-position-horizontal:absolute;mso-position-horizontal-relative:page;mso-position-vertical:absolute;mso-position-vertical-relative:page;mso-width-percent:824;mso-height-percent:864;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" filled="f" fillcolor="#9bc1ff" strokecolor="#5e6a71" strokeweight="4pt">
              <v:fill color2="#3f80cd" focus="100%" type="gradient">
                <o:fill v:ext="view" type="gradientUnscaled"/>
              </v:fill>
              <v:shadow opacity="22938f" offset="0"/>
              <v:textbox inset=",7.2pt,,7.2pt"/>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87ED3"/>
    <w:multiLevelType w:val="hybridMultilevel"/>
    <w:tmpl w:val="72A80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30EAB"/>
    <w:multiLevelType w:val="hybridMultilevel"/>
    <w:tmpl w:val="DDD83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32A4A"/>
    <w:multiLevelType w:val="hybridMultilevel"/>
    <w:tmpl w:val="120A49D6"/>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C5B134A"/>
    <w:multiLevelType w:val="hybridMultilevel"/>
    <w:tmpl w:val="6234F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A31532"/>
    <w:multiLevelType w:val="hybridMultilevel"/>
    <w:tmpl w:val="BBC86994"/>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314C7086"/>
    <w:multiLevelType w:val="hybridMultilevel"/>
    <w:tmpl w:val="3A08A256"/>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352A4334"/>
    <w:multiLevelType w:val="hybridMultilevel"/>
    <w:tmpl w:val="D7D48ECA"/>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37910492"/>
    <w:multiLevelType w:val="hybridMultilevel"/>
    <w:tmpl w:val="FE583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ED65BA"/>
    <w:multiLevelType w:val="hybridMultilevel"/>
    <w:tmpl w:val="64C2C7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A0443DD"/>
    <w:multiLevelType w:val="hybridMultilevel"/>
    <w:tmpl w:val="7D3851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C39688B"/>
    <w:multiLevelType w:val="hybridMultilevel"/>
    <w:tmpl w:val="B23AECDA"/>
    <w:lvl w:ilvl="0" w:tplc="F92CA24A">
      <w:start w:val="1"/>
      <w:numFmt w:val="decimal"/>
      <w:lvlText w:val="%1."/>
      <w:lvlJc w:val="left"/>
      <w:pPr>
        <w:tabs>
          <w:tab w:val="num" w:pos="720"/>
        </w:tabs>
        <w:ind w:left="720" w:hanging="360"/>
      </w:pPr>
    </w:lvl>
    <w:lvl w:ilvl="1" w:tplc="582E3B48" w:tentative="1">
      <w:start w:val="1"/>
      <w:numFmt w:val="decimal"/>
      <w:lvlText w:val="%2."/>
      <w:lvlJc w:val="left"/>
      <w:pPr>
        <w:tabs>
          <w:tab w:val="num" w:pos="1440"/>
        </w:tabs>
        <w:ind w:left="1440" w:hanging="360"/>
      </w:pPr>
    </w:lvl>
    <w:lvl w:ilvl="2" w:tplc="9E0CB770" w:tentative="1">
      <w:start w:val="1"/>
      <w:numFmt w:val="decimal"/>
      <w:lvlText w:val="%3."/>
      <w:lvlJc w:val="left"/>
      <w:pPr>
        <w:tabs>
          <w:tab w:val="num" w:pos="2160"/>
        </w:tabs>
        <w:ind w:left="2160" w:hanging="360"/>
      </w:pPr>
    </w:lvl>
    <w:lvl w:ilvl="3" w:tplc="CE30B0CE" w:tentative="1">
      <w:start w:val="1"/>
      <w:numFmt w:val="decimal"/>
      <w:lvlText w:val="%4."/>
      <w:lvlJc w:val="left"/>
      <w:pPr>
        <w:tabs>
          <w:tab w:val="num" w:pos="2880"/>
        </w:tabs>
        <w:ind w:left="2880" w:hanging="360"/>
      </w:pPr>
    </w:lvl>
    <w:lvl w:ilvl="4" w:tplc="58BEF530" w:tentative="1">
      <w:start w:val="1"/>
      <w:numFmt w:val="decimal"/>
      <w:lvlText w:val="%5."/>
      <w:lvlJc w:val="left"/>
      <w:pPr>
        <w:tabs>
          <w:tab w:val="num" w:pos="3600"/>
        </w:tabs>
        <w:ind w:left="3600" w:hanging="360"/>
      </w:pPr>
    </w:lvl>
    <w:lvl w:ilvl="5" w:tplc="F6D623C6" w:tentative="1">
      <w:start w:val="1"/>
      <w:numFmt w:val="decimal"/>
      <w:lvlText w:val="%6."/>
      <w:lvlJc w:val="left"/>
      <w:pPr>
        <w:tabs>
          <w:tab w:val="num" w:pos="4320"/>
        </w:tabs>
        <w:ind w:left="4320" w:hanging="360"/>
      </w:pPr>
    </w:lvl>
    <w:lvl w:ilvl="6" w:tplc="E5DCD72E" w:tentative="1">
      <w:start w:val="1"/>
      <w:numFmt w:val="decimal"/>
      <w:lvlText w:val="%7."/>
      <w:lvlJc w:val="left"/>
      <w:pPr>
        <w:tabs>
          <w:tab w:val="num" w:pos="5040"/>
        </w:tabs>
        <w:ind w:left="5040" w:hanging="360"/>
      </w:pPr>
    </w:lvl>
    <w:lvl w:ilvl="7" w:tplc="805E2C66" w:tentative="1">
      <w:start w:val="1"/>
      <w:numFmt w:val="decimal"/>
      <w:lvlText w:val="%8."/>
      <w:lvlJc w:val="left"/>
      <w:pPr>
        <w:tabs>
          <w:tab w:val="num" w:pos="5760"/>
        </w:tabs>
        <w:ind w:left="5760" w:hanging="360"/>
      </w:pPr>
    </w:lvl>
    <w:lvl w:ilvl="8" w:tplc="90660D58" w:tentative="1">
      <w:start w:val="1"/>
      <w:numFmt w:val="decimal"/>
      <w:lvlText w:val="%9."/>
      <w:lvlJc w:val="left"/>
      <w:pPr>
        <w:tabs>
          <w:tab w:val="num" w:pos="6480"/>
        </w:tabs>
        <w:ind w:left="6480" w:hanging="360"/>
      </w:pPr>
    </w:lvl>
  </w:abstractNum>
  <w:abstractNum w:abstractNumId="11" w15:restartNumberingAfterBreak="0">
    <w:nsid w:val="4D295B6A"/>
    <w:multiLevelType w:val="hybridMultilevel"/>
    <w:tmpl w:val="66CCF7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1EB7589"/>
    <w:multiLevelType w:val="hybridMultilevel"/>
    <w:tmpl w:val="3D0C5A8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28F717A"/>
    <w:multiLevelType w:val="hybridMultilevel"/>
    <w:tmpl w:val="64F21BFE"/>
    <w:lvl w:ilvl="0" w:tplc="756C1BC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0949FD"/>
    <w:multiLevelType w:val="hybridMultilevel"/>
    <w:tmpl w:val="5CACB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D4685E"/>
    <w:multiLevelType w:val="hybridMultilevel"/>
    <w:tmpl w:val="7C483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D46891"/>
    <w:multiLevelType w:val="hybridMultilevel"/>
    <w:tmpl w:val="BD18F7AA"/>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5E4E241A"/>
    <w:multiLevelType w:val="hybridMultilevel"/>
    <w:tmpl w:val="89285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C51C84"/>
    <w:multiLevelType w:val="hybridMultilevel"/>
    <w:tmpl w:val="56740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6B1163"/>
    <w:multiLevelType w:val="hybridMultilevel"/>
    <w:tmpl w:val="4D56350E"/>
    <w:lvl w:ilvl="0" w:tplc="C0503ABE">
      <w:start w:val="1"/>
      <w:numFmt w:val="bullet"/>
      <w:lvlText w:val="–"/>
      <w:lvlJc w:val="left"/>
      <w:pPr>
        <w:tabs>
          <w:tab w:val="num" w:pos="720"/>
        </w:tabs>
        <w:ind w:left="720" w:hanging="360"/>
      </w:pPr>
      <w:rPr>
        <w:rFonts w:ascii="Arial" w:hAnsi="Arial" w:hint="default"/>
      </w:rPr>
    </w:lvl>
    <w:lvl w:ilvl="1" w:tplc="E7368098">
      <w:start w:val="1"/>
      <w:numFmt w:val="bullet"/>
      <w:lvlText w:val="–"/>
      <w:lvlJc w:val="left"/>
      <w:pPr>
        <w:tabs>
          <w:tab w:val="num" w:pos="1440"/>
        </w:tabs>
        <w:ind w:left="1440" w:hanging="360"/>
      </w:pPr>
      <w:rPr>
        <w:rFonts w:ascii="Arial" w:hAnsi="Arial" w:hint="default"/>
      </w:rPr>
    </w:lvl>
    <w:lvl w:ilvl="2" w:tplc="D5104846" w:tentative="1">
      <w:start w:val="1"/>
      <w:numFmt w:val="bullet"/>
      <w:lvlText w:val="–"/>
      <w:lvlJc w:val="left"/>
      <w:pPr>
        <w:tabs>
          <w:tab w:val="num" w:pos="2160"/>
        </w:tabs>
        <w:ind w:left="2160" w:hanging="360"/>
      </w:pPr>
      <w:rPr>
        <w:rFonts w:ascii="Arial" w:hAnsi="Arial" w:hint="default"/>
      </w:rPr>
    </w:lvl>
    <w:lvl w:ilvl="3" w:tplc="3C82D220" w:tentative="1">
      <w:start w:val="1"/>
      <w:numFmt w:val="bullet"/>
      <w:lvlText w:val="–"/>
      <w:lvlJc w:val="left"/>
      <w:pPr>
        <w:tabs>
          <w:tab w:val="num" w:pos="2880"/>
        </w:tabs>
        <w:ind w:left="2880" w:hanging="360"/>
      </w:pPr>
      <w:rPr>
        <w:rFonts w:ascii="Arial" w:hAnsi="Arial" w:hint="default"/>
      </w:rPr>
    </w:lvl>
    <w:lvl w:ilvl="4" w:tplc="CC404112" w:tentative="1">
      <w:start w:val="1"/>
      <w:numFmt w:val="bullet"/>
      <w:lvlText w:val="–"/>
      <w:lvlJc w:val="left"/>
      <w:pPr>
        <w:tabs>
          <w:tab w:val="num" w:pos="3600"/>
        </w:tabs>
        <w:ind w:left="3600" w:hanging="360"/>
      </w:pPr>
      <w:rPr>
        <w:rFonts w:ascii="Arial" w:hAnsi="Arial" w:hint="default"/>
      </w:rPr>
    </w:lvl>
    <w:lvl w:ilvl="5" w:tplc="C24A0BE2" w:tentative="1">
      <w:start w:val="1"/>
      <w:numFmt w:val="bullet"/>
      <w:lvlText w:val="–"/>
      <w:lvlJc w:val="left"/>
      <w:pPr>
        <w:tabs>
          <w:tab w:val="num" w:pos="4320"/>
        </w:tabs>
        <w:ind w:left="4320" w:hanging="360"/>
      </w:pPr>
      <w:rPr>
        <w:rFonts w:ascii="Arial" w:hAnsi="Arial" w:hint="default"/>
      </w:rPr>
    </w:lvl>
    <w:lvl w:ilvl="6" w:tplc="32C283DC" w:tentative="1">
      <w:start w:val="1"/>
      <w:numFmt w:val="bullet"/>
      <w:lvlText w:val="–"/>
      <w:lvlJc w:val="left"/>
      <w:pPr>
        <w:tabs>
          <w:tab w:val="num" w:pos="5040"/>
        </w:tabs>
        <w:ind w:left="5040" w:hanging="360"/>
      </w:pPr>
      <w:rPr>
        <w:rFonts w:ascii="Arial" w:hAnsi="Arial" w:hint="default"/>
      </w:rPr>
    </w:lvl>
    <w:lvl w:ilvl="7" w:tplc="0C4AE136" w:tentative="1">
      <w:start w:val="1"/>
      <w:numFmt w:val="bullet"/>
      <w:lvlText w:val="–"/>
      <w:lvlJc w:val="left"/>
      <w:pPr>
        <w:tabs>
          <w:tab w:val="num" w:pos="5760"/>
        </w:tabs>
        <w:ind w:left="5760" w:hanging="360"/>
      </w:pPr>
      <w:rPr>
        <w:rFonts w:ascii="Arial" w:hAnsi="Arial" w:hint="default"/>
      </w:rPr>
    </w:lvl>
    <w:lvl w:ilvl="8" w:tplc="830E495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FDC242F"/>
    <w:multiLevelType w:val="hybridMultilevel"/>
    <w:tmpl w:val="95045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221D79"/>
    <w:multiLevelType w:val="multilevel"/>
    <w:tmpl w:val="A886B87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2" w15:restartNumberingAfterBreak="0">
    <w:nsid w:val="76BB3C3D"/>
    <w:multiLevelType w:val="hybridMultilevel"/>
    <w:tmpl w:val="5008BAEC"/>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7888402F"/>
    <w:multiLevelType w:val="hybridMultilevel"/>
    <w:tmpl w:val="30BAB0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A14150A"/>
    <w:multiLevelType w:val="hybridMultilevel"/>
    <w:tmpl w:val="BA40BBA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2"/>
  </w:num>
  <w:num w:numId="2">
    <w:abstractNumId w:val="6"/>
  </w:num>
  <w:num w:numId="3">
    <w:abstractNumId w:val="5"/>
  </w:num>
  <w:num w:numId="4">
    <w:abstractNumId w:val="4"/>
  </w:num>
  <w:num w:numId="5">
    <w:abstractNumId w:val="2"/>
  </w:num>
  <w:num w:numId="6">
    <w:abstractNumId w:val="16"/>
  </w:num>
  <w:num w:numId="7">
    <w:abstractNumId w:val="24"/>
  </w:num>
  <w:num w:numId="8">
    <w:abstractNumId w:val="21"/>
  </w:num>
  <w:num w:numId="9">
    <w:abstractNumId w:val="8"/>
  </w:num>
  <w:num w:numId="10">
    <w:abstractNumId w:val="11"/>
  </w:num>
  <w:num w:numId="11">
    <w:abstractNumId w:val="3"/>
  </w:num>
  <w:num w:numId="12">
    <w:abstractNumId w:val="18"/>
  </w:num>
  <w:num w:numId="13">
    <w:abstractNumId w:val="9"/>
  </w:num>
  <w:num w:numId="14">
    <w:abstractNumId w:val="12"/>
  </w:num>
  <w:num w:numId="15">
    <w:abstractNumId w:val="1"/>
  </w:num>
  <w:num w:numId="16">
    <w:abstractNumId w:val="7"/>
  </w:num>
  <w:num w:numId="17">
    <w:abstractNumId w:val="23"/>
  </w:num>
  <w:num w:numId="18">
    <w:abstractNumId w:val="0"/>
  </w:num>
  <w:num w:numId="19">
    <w:abstractNumId w:val="14"/>
  </w:num>
  <w:num w:numId="20">
    <w:abstractNumId w:val="20"/>
  </w:num>
  <w:num w:numId="21">
    <w:abstractNumId w:val="15"/>
  </w:num>
  <w:num w:numId="22">
    <w:abstractNumId w:val="19"/>
  </w:num>
  <w:num w:numId="23">
    <w:abstractNumId w:val="13"/>
  </w:num>
  <w:num w:numId="24">
    <w:abstractNumId w:val="10"/>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7BD"/>
    <w:rsid w:val="00005BD7"/>
    <w:rsid w:val="00005D8E"/>
    <w:rsid w:val="00011149"/>
    <w:rsid w:val="00021D6D"/>
    <w:rsid w:val="00023753"/>
    <w:rsid w:val="00026DCB"/>
    <w:rsid w:val="00031BAD"/>
    <w:rsid w:val="0003243C"/>
    <w:rsid w:val="000467A5"/>
    <w:rsid w:val="000504C3"/>
    <w:rsid w:val="00052A44"/>
    <w:rsid w:val="000536FA"/>
    <w:rsid w:val="00063B02"/>
    <w:rsid w:val="000667EA"/>
    <w:rsid w:val="000742A4"/>
    <w:rsid w:val="000941DF"/>
    <w:rsid w:val="000A13F6"/>
    <w:rsid w:val="000A632D"/>
    <w:rsid w:val="000B3A9D"/>
    <w:rsid w:val="000C33F7"/>
    <w:rsid w:val="000C3AD1"/>
    <w:rsid w:val="000D192F"/>
    <w:rsid w:val="000D57FB"/>
    <w:rsid w:val="000E7508"/>
    <w:rsid w:val="000F5038"/>
    <w:rsid w:val="00102B87"/>
    <w:rsid w:val="00103704"/>
    <w:rsid w:val="00105226"/>
    <w:rsid w:val="00105C0C"/>
    <w:rsid w:val="00113819"/>
    <w:rsid w:val="001142AB"/>
    <w:rsid w:val="00115939"/>
    <w:rsid w:val="00116A45"/>
    <w:rsid w:val="0012166E"/>
    <w:rsid w:val="00121B34"/>
    <w:rsid w:val="00132207"/>
    <w:rsid w:val="001348DA"/>
    <w:rsid w:val="001350D0"/>
    <w:rsid w:val="00135D08"/>
    <w:rsid w:val="00137F7C"/>
    <w:rsid w:val="00143A10"/>
    <w:rsid w:val="001611C2"/>
    <w:rsid w:val="00163E73"/>
    <w:rsid w:val="00165DD3"/>
    <w:rsid w:val="00171E97"/>
    <w:rsid w:val="00181239"/>
    <w:rsid w:val="00194CDB"/>
    <w:rsid w:val="001969DC"/>
    <w:rsid w:val="001A0B2E"/>
    <w:rsid w:val="001D387E"/>
    <w:rsid w:val="001D3A76"/>
    <w:rsid w:val="001D63DC"/>
    <w:rsid w:val="001E3BB1"/>
    <w:rsid w:val="001E431F"/>
    <w:rsid w:val="001F455B"/>
    <w:rsid w:val="00212DB9"/>
    <w:rsid w:val="00232D4E"/>
    <w:rsid w:val="00247187"/>
    <w:rsid w:val="00261BC8"/>
    <w:rsid w:val="00264C7E"/>
    <w:rsid w:val="002753C2"/>
    <w:rsid w:val="0027594A"/>
    <w:rsid w:val="0028045F"/>
    <w:rsid w:val="00282C6B"/>
    <w:rsid w:val="00292A0C"/>
    <w:rsid w:val="00293351"/>
    <w:rsid w:val="002A5B7D"/>
    <w:rsid w:val="002B5EF5"/>
    <w:rsid w:val="002B6F6F"/>
    <w:rsid w:val="002C1D8E"/>
    <w:rsid w:val="002D5A70"/>
    <w:rsid w:val="002E20A8"/>
    <w:rsid w:val="002E7DF5"/>
    <w:rsid w:val="002F6A63"/>
    <w:rsid w:val="002F747F"/>
    <w:rsid w:val="003053FF"/>
    <w:rsid w:val="00311BC4"/>
    <w:rsid w:val="00322703"/>
    <w:rsid w:val="0032286F"/>
    <w:rsid w:val="003231BC"/>
    <w:rsid w:val="00323419"/>
    <w:rsid w:val="00324410"/>
    <w:rsid w:val="0032461A"/>
    <w:rsid w:val="003435C3"/>
    <w:rsid w:val="00350E4E"/>
    <w:rsid w:val="00351869"/>
    <w:rsid w:val="00356B65"/>
    <w:rsid w:val="00361343"/>
    <w:rsid w:val="003863BF"/>
    <w:rsid w:val="003907F3"/>
    <w:rsid w:val="00394E98"/>
    <w:rsid w:val="003A1C10"/>
    <w:rsid w:val="003A49AC"/>
    <w:rsid w:val="003A75D3"/>
    <w:rsid w:val="003C316D"/>
    <w:rsid w:val="003E33BB"/>
    <w:rsid w:val="003E5EB5"/>
    <w:rsid w:val="003F1EC5"/>
    <w:rsid w:val="003F532C"/>
    <w:rsid w:val="003F5E62"/>
    <w:rsid w:val="0040221E"/>
    <w:rsid w:val="004049FB"/>
    <w:rsid w:val="004106E6"/>
    <w:rsid w:val="0042178D"/>
    <w:rsid w:val="00425B5E"/>
    <w:rsid w:val="00445492"/>
    <w:rsid w:val="0044607A"/>
    <w:rsid w:val="00453F81"/>
    <w:rsid w:val="00466121"/>
    <w:rsid w:val="0047179A"/>
    <w:rsid w:val="00474A60"/>
    <w:rsid w:val="00480347"/>
    <w:rsid w:val="00483644"/>
    <w:rsid w:val="00492175"/>
    <w:rsid w:val="00492320"/>
    <w:rsid w:val="004956B8"/>
    <w:rsid w:val="004A2365"/>
    <w:rsid w:val="004A5FC7"/>
    <w:rsid w:val="004B426C"/>
    <w:rsid w:val="004B5A88"/>
    <w:rsid w:val="004B5D2B"/>
    <w:rsid w:val="004C03EF"/>
    <w:rsid w:val="004D0BA7"/>
    <w:rsid w:val="004D5D24"/>
    <w:rsid w:val="004F1D79"/>
    <w:rsid w:val="00503D6A"/>
    <w:rsid w:val="0050691C"/>
    <w:rsid w:val="00506C76"/>
    <w:rsid w:val="00531627"/>
    <w:rsid w:val="005330EF"/>
    <w:rsid w:val="00536BB0"/>
    <w:rsid w:val="0053742E"/>
    <w:rsid w:val="00546608"/>
    <w:rsid w:val="00551583"/>
    <w:rsid w:val="00557115"/>
    <w:rsid w:val="00563970"/>
    <w:rsid w:val="0057102D"/>
    <w:rsid w:val="0058456E"/>
    <w:rsid w:val="00595153"/>
    <w:rsid w:val="005953C6"/>
    <w:rsid w:val="005975A5"/>
    <w:rsid w:val="005A0846"/>
    <w:rsid w:val="005A0BFF"/>
    <w:rsid w:val="005A3C21"/>
    <w:rsid w:val="005B0D30"/>
    <w:rsid w:val="005D0274"/>
    <w:rsid w:val="005D2CC4"/>
    <w:rsid w:val="005D4D8F"/>
    <w:rsid w:val="005E3187"/>
    <w:rsid w:val="00601DC8"/>
    <w:rsid w:val="00606194"/>
    <w:rsid w:val="00607EA3"/>
    <w:rsid w:val="00612C66"/>
    <w:rsid w:val="00615588"/>
    <w:rsid w:val="00626D5D"/>
    <w:rsid w:val="00635B3A"/>
    <w:rsid w:val="00635CD4"/>
    <w:rsid w:val="00640C86"/>
    <w:rsid w:val="0064210D"/>
    <w:rsid w:val="0064649E"/>
    <w:rsid w:val="006475D6"/>
    <w:rsid w:val="006533C1"/>
    <w:rsid w:val="00654ACC"/>
    <w:rsid w:val="00664EC7"/>
    <w:rsid w:val="006730CB"/>
    <w:rsid w:val="00681596"/>
    <w:rsid w:val="0068767F"/>
    <w:rsid w:val="006927BD"/>
    <w:rsid w:val="00697536"/>
    <w:rsid w:val="006A0048"/>
    <w:rsid w:val="006A05D7"/>
    <w:rsid w:val="006A08A4"/>
    <w:rsid w:val="006A26F9"/>
    <w:rsid w:val="006A4E9F"/>
    <w:rsid w:val="006C3B9B"/>
    <w:rsid w:val="006C5104"/>
    <w:rsid w:val="006C763A"/>
    <w:rsid w:val="006D4BA3"/>
    <w:rsid w:val="006E0160"/>
    <w:rsid w:val="006E1FC3"/>
    <w:rsid w:val="006E28E1"/>
    <w:rsid w:val="006E2C81"/>
    <w:rsid w:val="006E3FF1"/>
    <w:rsid w:val="006F14D9"/>
    <w:rsid w:val="00702B51"/>
    <w:rsid w:val="0071175D"/>
    <w:rsid w:val="00720A14"/>
    <w:rsid w:val="00721010"/>
    <w:rsid w:val="00723FCB"/>
    <w:rsid w:val="00727BD6"/>
    <w:rsid w:val="00730BC6"/>
    <w:rsid w:val="00733F9A"/>
    <w:rsid w:val="00735AF7"/>
    <w:rsid w:val="00744E0B"/>
    <w:rsid w:val="00745493"/>
    <w:rsid w:val="007512AA"/>
    <w:rsid w:val="00751D21"/>
    <w:rsid w:val="007520EB"/>
    <w:rsid w:val="00756048"/>
    <w:rsid w:val="00762843"/>
    <w:rsid w:val="00774780"/>
    <w:rsid w:val="00781CF7"/>
    <w:rsid w:val="00785D3A"/>
    <w:rsid w:val="007A11A6"/>
    <w:rsid w:val="007A7440"/>
    <w:rsid w:val="007B39F1"/>
    <w:rsid w:val="007C1CD8"/>
    <w:rsid w:val="007C440E"/>
    <w:rsid w:val="007D2BE8"/>
    <w:rsid w:val="007F48E3"/>
    <w:rsid w:val="007F573C"/>
    <w:rsid w:val="008061D5"/>
    <w:rsid w:val="008074C2"/>
    <w:rsid w:val="00810047"/>
    <w:rsid w:val="008121AC"/>
    <w:rsid w:val="00821E58"/>
    <w:rsid w:val="00822234"/>
    <w:rsid w:val="00823003"/>
    <w:rsid w:val="00823327"/>
    <w:rsid w:val="00827FF8"/>
    <w:rsid w:val="00831D89"/>
    <w:rsid w:val="00860052"/>
    <w:rsid w:val="0086744F"/>
    <w:rsid w:val="00881C25"/>
    <w:rsid w:val="00882A96"/>
    <w:rsid w:val="00886460"/>
    <w:rsid w:val="008941B0"/>
    <w:rsid w:val="008961F4"/>
    <w:rsid w:val="008A0513"/>
    <w:rsid w:val="008A1241"/>
    <w:rsid w:val="008A7488"/>
    <w:rsid w:val="008B20BB"/>
    <w:rsid w:val="008C72F0"/>
    <w:rsid w:val="008C7414"/>
    <w:rsid w:val="008D1D6D"/>
    <w:rsid w:val="008D2C97"/>
    <w:rsid w:val="008E1A9E"/>
    <w:rsid w:val="008E2DAC"/>
    <w:rsid w:val="008E3E73"/>
    <w:rsid w:val="008E4B50"/>
    <w:rsid w:val="008F5B1D"/>
    <w:rsid w:val="00903B68"/>
    <w:rsid w:val="0090475E"/>
    <w:rsid w:val="00912A24"/>
    <w:rsid w:val="00916620"/>
    <w:rsid w:val="00930825"/>
    <w:rsid w:val="0093332E"/>
    <w:rsid w:val="00935B62"/>
    <w:rsid w:val="00936FF0"/>
    <w:rsid w:val="0093785D"/>
    <w:rsid w:val="00953992"/>
    <w:rsid w:val="00957A5C"/>
    <w:rsid w:val="00960C51"/>
    <w:rsid w:val="0097195C"/>
    <w:rsid w:val="00975EDB"/>
    <w:rsid w:val="009823F9"/>
    <w:rsid w:val="00985187"/>
    <w:rsid w:val="00987D0C"/>
    <w:rsid w:val="009A522F"/>
    <w:rsid w:val="009B4547"/>
    <w:rsid w:val="009C0677"/>
    <w:rsid w:val="009D06F3"/>
    <w:rsid w:val="009D105F"/>
    <w:rsid w:val="009D14B5"/>
    <w:rsid w:val="009D3CF7"/>
    <w:rsid w:val="009E311B"/>
    <w:rsid w:val="009F51DD"/>
    <w:rsid w:val="00A04033"/>
    <w:rsid w:val="00A24662"/>
    <w:rsid w:val="00A25092"/>
    <w:rsid w:val="00A253AE"/>
    <w:rsid w:val="00A266A7"/>
    <w:rsid w:val="00A32469"/>
    <w:rsid w:val="00A339F0"/>
    <w:rsid w:val="00A35E99"/>
    <w:rsid w:val="00A37F33"/>
    <w:rsid w:val="00A41CA7"/>
    <w:rsid w:val="00A46EBC"/>
    <w:rsid w:val="00A548B2"/>
    <w:rsid w:val="00A61B3A"/>
    <w:rsid w:val="00A62E7F"/>
    <w:rsid w:val="00A63800"/>
    <w:rsid w:val="00A70E33"/>
    <w:rsid w:val="00A7384A"/>
    <w:rsid w:val="00A81A1A"/>
    <w:rsid w:val="00A83409"/>
    <w:rsid w:val="00A835B2"/>
    <w:rsid w:val="00A8554C"/>
    <w:rsid w:val="00A863AA"/>
    <w:rsid w:val="00A87D53"/>
    <w:rsid w:val="00A94195"/>
    <w:rsid w:val="00AA6C50"/>
    <w:rsid w:val="00AB5696"/>
    <w:rsid w:val="00AB7051"/>
    <w:rsid w:val="00AB78E2"/>
    <w:rsid w:val="00AD7245"/>
    <w:rsid w:val="00AE1858"/>
    <w:rsid w:val="00AE384B"/>
    <w:rsid w:val="00AF1843"/>
    <w:rsid w:val="00B016C1"/>
    <w:rsid w:val="00B131C0"/>
    <w:rsid w:val="00B14BDF"/>
    <w:rsid w:val="00B25124"/>
    <w:rsid w:val="00B46A74"/>
    <w:rsid w:val="00B472B6"/>
    <w:rsid w:val="00B50292"/>
    <w:rsid w:val="00B56B23"/>
    <w:rsid w:val="00B57438"/>
    <w:rsid w:val="00B57CAC"/>
    <w:rsid w:val="00B60380"/>
    <w:rsid w:val="00B64957"/>
    <w:rsid w:val="00B6561E"/>
    <w:rsid w:val="00B72788"/>
    <w:rsid w:val="00B7432B"/>
    <w:rsid w:val="00B83346"/>
    <w:rsid w:val="00B914E1"/>
    <w:rsid w:val="00B93A4F"/>
    <w:rsid w:val="00BA6B09"/>
    <w:rsid w:val="00BB154A"/>
    <w:rsid w:val="00BB3202"/>
    <w:rsid w:val="00BB4A34"/>
    <w:rsid w:val="00BB4A46"/>
    <w:rsid w:val="00BB7E7D"/>
    <w:rsid w:val="00BC4B7E"/>
    <w:rsid w:val="00BC656A"/>
    <w:rsid w:val="00BD4062"/>
    <w:rsid w:val="00BE1D10"/>
    <w:rsid w:val="00BE25AC"/>
    <w:rsid w:val="00BE264F"/>
    <w:rsid w:val="00BF29EF"/>
    <w:rsid w:val="00BF339D"/>
    <w:rsid w:val="00C10A9A"/>
    <w:rsid w:val="00C168F8"/>
    <w:rsid w:val="00C1786E"/>
    <w:rsid w:val="00C22335"/>
    <w:rsid w:val="00C4574E"/>
    <w:rsid w:val="00C45CB8"/>
    <w:rsid w:val="00C46068"/>
    <w:rsid w:val="00C46BF0"/>
    <w:rsid w:val="00C47323"/>
    <w:rsid w:val="00C51A8C"/>
    <w:rsid w:val="00C73C9F"/>
    <w:rsid w:val="00CA225C"/>
    <w:rsid w:val="00CB4E43"/>
    <w:rsid w:val="00CC1120"/>
    <w:rsid w:val="00CC233A"/>
    <w:rsid w:val="00CE7FF4"/>
    <w:rsid w:val="00CF5CE9"/>
    <w:rsid w:val="00CF7233"/>
    <w:rsid w:val="00D16045"/>
    <w:rsid w:val="00D17E4B"/>
    <w:rsid w:val="00D359E8"/>
    <w:rsid w:val="00D42EB6"/>
    <w:rsid w:val="00D566B6"/>
    <w:rsid w:val="00D60B86"/>
    <w:rsid w:val="00D67B40"/>
    <w:rsid w:val="00D7242C"/>
    <w:rsid w:val="00D72757"/>
    <w:rsid w:val="00D85FCA"/>
    <w:rsid w:val="00D90ECA"/>
    <w:rsid w:val="00D91B7F"/>
    <w:rsid w:val="00D976ED"/>
    <w:rsid w:val="00DB4693"/>
    <w:rsid w:val="00DC58F0"/>
    <w:rsid w:val="00DD13CC"/>
    <w:rsid w:val="00DD148A"/>
    <w:rsid w:val="00DD602B"/>
    <w:rsid w:val="00DF6882"/>
    <w:rsid w:val="00E0213D"/>
    <w:rsid w:val="00E10EDB"/>
    <w:rsid w:val="00E131F0"/>
    <w:rsid w:val="00E26F69"/>
    <w:rsid w:val="00E322F3"/>
    <w:rsid w:val="00E32555"/>
    <w:rsid w:val="00E35498"/>
    <w:rsid w:val="00E41100"/>
    <w:rsid w:val="00E43183"/>
    <w:rsid w:val="00E52A30"/>
    <w:rsid w:val="00E57D81"/>
    <w:rsid w:val="00E60BA8"/>
    <w:rsid w:val="00E6519A"/>
    <w:rsid w:val="00E66FCD"/>
    <w:rsid w:val="00E7126C"/>
    <w:rsid w:val="00E83DDE"/>
    <w:rsid w:val="00E847A4"/>
    <w:rsid w:val="00E94B4A"/>
    <w:rsid w:val="00EA3578"/>
    <w:rsid w:val="00EA4703"/>
    <w:rsid w:val="00EA5D66"/>
    <w:rsid w:val="00EA73DF"/>
    <w:rsid w:val="00EB1338"/>
    <w:rsid w:val="00ED2444"/>
    <w:rsid w:val="00ED6EC6"/>
    <w:rsid w:val="00ED72B3"/>
    <w:rsid w:val="00ED7544"/>
    <w:rsid w:val="00EE0C61"/>
    <w:rsid w:val="00EE1A82"/>
    <w:rsid w:val="00EE4C0A"/>
    <w:rsid w:val="00EE5F7C"/>
    <w:rsid w:val="00EF1602"/>
    <w:rsid w:val="00EF36ED"/>
    <w:rsid w:val="00EF40BD"/>
    <w:rsid w:val="00EF6D3E"/>
    <w:rsid w:val="00F05BE0"/>
    <w:rsid w:val="00F06700"/>
    <w:rsid w:val="00F1734C"/>
    <w:rsid w:val="00F2319B"/>
    <w:rsid w:val="00F244FB"/>
    <w:rsid w:val="00F3718B"/>
    <w:rsid w:val="00F409E3"/>
    <w:rsid w:val="00F41148"/>
    <w:rsid w:val="00F43038"/>
    <w:rsid w:val="00F437D2"/>
    <w:rsid w:val="00F45691"/>
    <w:rsid w:val="00F4619C"/>
    <w:rsid w:val="00F51862"/>
    <w:rsid w:val="00F55BA5"/>
    <w:rsid w:val="00F57B2B"/>
    <w:rsid w:val="00F66779"/>
    <w:rsid w:val="00F726D8"/>
    <w:rsid w:val="00F72BF2"/>
    <w:rsid w:val="00F838C1"/>
    <w:rsid w:val="00F92AAA"/>
    <w:rsid w:val="00F96F32"/>
    <w:rsid w:val="00FB4538"/>
    <w:rsid w:val="00FB660E"/>
    <w:rsid w:val="00FD698F"/>
    <w:rsid w:val="00FF5262"/>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5FF0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AB7051"/>
    <w:rPr>
      <w:lang w:val="en-US"/>
    </w:rPr>
  </w:style>
  <w:style w:type="paragraph" w:styleId="Heading1">
    <w:name w:val="heading 1"/>
    <w:basedOn w:val="Normal"/>
    <w:next w:val="Normal"/>
    <w:link w:val="Heading1Char"/>
    <w:uiPriority w:val="9"/>
    <w:qFormat/>
    <w:rsid w:val="00AB7051"/>
    <w:pPr>
      <w:keepNext/>
      <w:keepLines/>
      <w:pBdr>
        <w:top w:val="single" w:sz="18" w:space="1" w:color="BD582C" w:themeColor="accent2"/>
      </w:pBdr>
      <w:spacing w:before="240" w:after="40"/>
      <w:outlineLvl w:val="0"/>
    </w:pPr>
    <w:rPr>
      <w:rFonts w:asciiTheme="majorHAnsi" w:eastAsiaTheme="majorEastAsia" w:hAnsiTheme="majorHAnsi" w:cstheme="majorBidi"/>
      <w:b/>
      <w:noProof/>
      <w:color w:val="865640" w:themeColor="accent3"/>
      <w:sz w:val="26"/>
      <w:szCs w:val="26"/>
    </w:rPr>
  </w:style>
  <w:style w:type="paragraph" w:styleId="Heading2">
    <w:name w:val="heading 2"/>
    <w:basedOn w:val="Normal"/>
    <w:next w:val="Normal"/>
    <w:link w:val="Heading2Char"/>
    <w:uiPriority w:val="9"/>
    <w:semiHidden/>
    <w:rsid w:val="006C763A"/>
    <w:pPr>
      <w:keepNext/>
      <w:keepLines/>
      <w:spacing w:before="40"/>
      <w:outlineLvl w:val="1"/>
    </w:pPr>
    <w:rPr>
      <w:rFonts w:asciiTheme="majorHAnsi" w:eastAsiaTheme="majorEastAsia" w:hAnsiTheme="majorHAnsi" w:cstheme="majorBidi"/>
      <w:color w:val="AA610D" w:themeColor="accent1" w:themeShade="BF"/>
      <w:sz w:val="26"/>
      <w:szCs w:val="26"/>
    </w:rPr>
  </w:style>
  <w:style w:type="paragraph" w:styleId="Heading3">
    <w:name w:val="heading 3"/>
    <w:basedOn w:val="Normal"/>
    <w:next w:val="Normal"/>
    <w:link w:val="Heading3Char"/>
    <w:uiPriority w:val="9"/>
    <w:semiHidden/>
    <w:rsid w:val="002D5A70"/>
    <w:pPr>
      <w:keepNext/>
      <w:keepLines/>
      <w:spacing w:before="40"/>
      <w:outlineLvl w:val="2"/>
    </w:pPr>
    <w:rPr>
      <w:rFonts w:asciiTheme="majorHAnsi" w:eastAsiaTheme="majorEastAsia" w:hAnsiTheme="majorHAnsi" w:cstheme="majorBidi"/>
      <w:color w:val="714109"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7051"/>
    <w:rPr>
      <w:rFonts w:asciiTheme="majorHAnsi" w:eastAsiaTheme="majorEastAsia" w:hAnsiTheme="majorHAnsi" w:cstheme="majorBidi"/>
      <w:b/>
      <w:noProof/>
      <w:color w:val="865640" w:themeColor="accent3"/>
      <w:sz w:val="26"/>
      <w:szCs w:val="26"/>
      <w:lang w:val="en-US"/>
    </w:rPr>
  </w:style>
  <w:style w:type="character" w:customStyle="1" w:styleId="Heading2Char">
    <w:name w:val="Heading 2 Char"/>
    <w:basedOn w:val="DefaultParagraphFont"/>
    <w:link w:val="Heading2"/>
    <w:uiPriority w:val="9"/>
    <w:semiHidden/>
    <w:rsid w:val="00AB7051"/>
    <w:rPr>
      <w:rFonts w:asciiTheme="majorHAnsi" w:eastAsiaTheme="majorEastAsia" w:hAnsiTheme="majorHAnsi" w:cstheme="majorBidi"/>
      <w:color w:val="AA610D" w:themeColor="accent1" w:themeShade="BF"/>
      <w:sz w:val="26"/>
      <w:szCs w:val="26"/>
      <w:lang w:val="en-US"/>
    </w:rPr>
  </w:style>
  <w:style w:type="paragraph" w:styleId="ListParagraph">
    <w:name w:val="List Paragraph"/>
    <w:basedOn w:val="Normal"/>
    <w:uiPriority w:val="34"/>
    <w:qFormat/>
    <w:rsid w:val="006C763A"/>
    <w:pPr>
      <w:ind w:left="720"/>
      <w:contextualSpacing/>
    </w:pPr>
  </w:style>
  <w:style w:type="character" w:styleId="Hyperlink">
    <w:name w:val="Hyperlink"/>
    <w:basedOn w:val="DefaultParagraphFont"/>
    <w:uiPriority w:val="99"/>
    <w:unhideWhenUsed/>
    <w:rsid w:val="00697536"/>
    <w:rPr>
      <w:color w:val="2998E3" w:themeColor="hyperlink"/>
      <w:u w:val="single"/>
    </w:rPr>
  </w:style>
  <w:style w:type="character" w:customStyle="1" w:styleId="UnresolvedMention1">
    <w:name w:val="Unresolved Mention1"/>
    <w:basedOn w:val="DefaultParagraphFont"/>
    <w:uiPriority w:val="99"/>
    <w:semiHidden/>
    <w:unhideWhenUsed/>
    <w:rsid w:val="00697536"/>
    <w:rPr>
      <w:color w:val="605E5C"/>
      <w:shd w:val="clear" w:color="auto" w:fill="E1DFDD"/>
    </w:rPr>
  </w:style>
  <w:style w:type="paragraph" w:styleId="Title">
    <w:name w:val="Title"/>
    <w:basedOn w:val="Normal"/>
    <w:next w:val="Normal"/>
    <w:link w:val="TitleChar"/>
    <w:uiPriority w:val="10"/>
    <w:qFormat/>
    <w:rsid w:val="00AB7051"/>
    <w:pPr>
      <w:spacing w:after="160"/>
      <w:ind w:left="2127"/>
      <w:contextualSpacing/>
    </w:pPr>
    <w:rPr>
      <w:rFonts w:asciiTheme="majorHAnsi" w:eastAsiaTheme="majorEastAsia" w:hAnsiTheme="majorHAnsi" w:cstheme="majorBidi"/>
      <w:b/>
      <w:smallCaps/>
      <w:noProof/>
      <w:color w:val="865640" w:themeColor="accent3"/>
      <w:spacing w:val="10"/>
      <w:kern w:val="28"/>
      <w:sz w:val="44"/>
      <w:szCs w:val="52"/>
      <w:lang w:val="en-GB" w:eastAsia="en-GB"/>
    </w:rPr>
  </w:style>
  <w:style w:type="character" w:customStyle="1" w:styleId="TitleChar">
    <w:name w:val="Title Char"/>
    <w:basedOn w:val="DefaultParagraphFont"/>
    <w:link w:val="Title"/>
    <w:uiPriority w:val="10"/>
    <w:rsid w:val="00AB7051"/>
    <w:rPr>
      <w:rFonts w:asciiTheme="majorHAnsi" w:eastAsiaTheme="majorEastAsia" w:hAnsiTheme="majorHAnsi" w:cstheme="majorBidi"/>
      <w:b/>
      <w:smallCaps/>
      <w:noProof/>
      <w:color w:val="865640" w:themeColor="accent3"/>
      <w:spacing w:val="10"/>
      <w:kern w:val="28"/>
      <w:sz w:val="44"/>
      <w:szCs w:val="52"/>
      <w:lang w:val="en-GB" w:eastAsia="en-GB"/>
    </w:rPr>
  </w:style>
  <w:style w:type="paragraph" w:styleId="Header">
    <w:name w:val="header"/>
    <w:basedOn w:val="Normal"/>
    <w:link w:val="HeaderChar"/>
    <w:uiPriority w:val="99"/>
    <w:semiHidden/>
    <w:rsid w:val="008F5B1D"/>
    <w:pPr>
      <w:tabs>
        <w:tab w:val="center" w:pos="4320"/>
        <w:tab w:val="right" w:pos="8640"/>
      </w:tabs>
    </w:pPr>
  </w:style>
  <w:style w:type="character" w:customStyle="1" w:styleId="HeaderChar">
    <w:name w:val="Header Char"/>
    <w:basedOn w:val="DefaultParagraphFont"/>
    <w:link w:val="Header"/>
    <w:uiPriority w:val="99"/>
    <w:semiHidden/>
    <w:rsid w:val="00AB7051"/>
    <w:rPr>
      <w:lang w:val="en-US"/>
    </w:rPr>
  </w:style>
  <w:style w:type="paragraph" w:styleId="Footer">
    <w:name w:val="footer"/>
    <w:basedOn w:val="Normal"/>
    <w:link w:val="FooterChar"/>
    <w:uiPriority w:val="99"/>
    <w:rsid w:val="008F5B1D"/>
    <w:pPr>
      <w:tabs>
        <w:tab w:val="center" w:pos="4320"/>
        <w:tab w:val="right" w:pos="8640"/>
      </w:tabs>
    </w:pPr>
  </w:style>
  <w:style w:type="character" w:customStyle="1" w:styleId="FooterChar">
    <w:name w:val="Footer Char"/>
    <w:basedOn w:val="DefaultParagraphFont"/>
    <w:link w:val="Footer"/>
    <w:uiPriority w:val="99"/>
    <w:rsid w:val="00AB7051"/>
    <w:rPr>
      <w:lang w:val="en-US"/>
    </w:rPr>
  </w:style>
  <w:style w:type="paragraph" w:styleId="Subtitle">
    <w:name w:val="Subtitle"/>
    <w:basedOn w:val="Normal"/>
    <w:next w:val="Normal"/>
    <w:link w:val="SubtitleChar"/>
    <w:uiPriority w:val="11"/>
    <w:qFormat/>
    <w:rsid w:val="00AB7051"/>
    <w:pPr>
      <w:numPr>
        <w:ilvl w:val="1"/>
      </w:numPr>
      <w:spacing w:after="600"/>
      <w:ind w:left="2127"/>
    </w:pPr>
    <w:rPr>
      <w:rFonts w:asciiTheme="majorHAnsi" w:eastAsiaTheme="majorEastAsia" w:hAnsiTheme="majorHAnsi" w:cstheme="majorBidi"/>
      <w:iCs/>
      <w:sz w:val="32"/>
      <w:szCs w:val="32"/>
    </w:rPr>
  </w:style>
  <w:style w:type="character" w:customStyle="1" w:styleId="SubtitleChar">
    <w:name w:val="Subtitle Char"/>
    <w:basedOn w:val="DefaultParagraphFont"/>
    <w:link w:val="Subtitle"/>
    <w:uiPriority w:val="11"/>
    <w:rsid w:val="00AB7051"/>
    <w:rPr>
      <w:rFonts w:asciiTheme="majorHAnsi" w:eastAsiaTheme="majorEastAsia" w:hAnsiTheme="majorHAnsi" w:cstheme="majorBidi"/>
      <w:iCs/>
      <w:sz w:val="32"/>
      <w:szCs w:val="32"/>
      <w:lang w:val="en-US"/>
    </w:rPr>
  </w:style>
  <w:style w:type="paragraph" w:customStyle="1" w:styleId="checklistindent">
    <w:name w:val="checklist indent"/>
    <w:basedOn w:val="Normal"/>
    <w:qFormat/>
    <w:rsid w:val="00F06700"/>
    <w:pPr>
      <w:ind w:left="284" w:hanging="284"/>
    </w:pPr>
    <w:rPr>
      <w:sz w:val="21"/>
      <w:szCs w:val="21"/>
    </w:rPr>
  </w:style>
  <w:style w:type="character" w:styleId="PlaceholderText">
    <w:name w:val="Placeholder Text"/>
    <w:basedOn w:val="DefaultParagraphFont"/>
    <w:uiPriority w:val="99"/>
    <w:semiHidden/>
    <w:rsid w:val="0032461A"/>
    <w:rPr>
      <w:color w:val="808080"/>
    </w:rPr>
  </w:style>
  <w:style w:type="character" w:styleId="BookTitle">
    <w:name w:val="Book Title"/>
    <w:basedOn w:val="DefaultParagraphFont"/>
    <w:uiPriority w:val="33"/>
    <w:semiHidden/>
    <w:rsid w:val="007F48E3"/>
    <w:rPr>
      <w:b/>
      <w:bCs/>
      <w:i/>
      <w:iCs/>
      <w:spacing w:val="5"/>
    </w:rPr>
  </w:style>
  <w:style w:type="character" w:styleId="UnresolvedMention">
    <w:name w:val="Unresolved Mention"/>
    <w:basedOn w:val="DefaultParagraphFont"/>
    <w:uiPriority w:val="99"/>
    <w:semiHidden/>
    <w:unhideWhenUsed/>
    <w:rsid w:val="007F48E3"/>
    <w:rPr>
      <w:color w:val="605E5C"/>
      <w:shd w:val="clear" w:color="auto" w:fill="E1DFDD"/>
    </w:rPr>
  </w:style>
  <w:style w:type="character" w:styleId="FollowedHyperlink">
    <w:name w:val="FollowedHyperlink"/>
    <w:basedOn w:val="DefaultParagraphFont"/>
    <w:uiPriority w:val="99"/>
    <w:semiHidden/>
    <w:unhideWhenUsed/>
    <w:rsid w:val="00640C86"/>
    <w:rPr>
      <w:color w:val="8C8C8C" w:themeColor="followedHyperlink"/>
      <w:u w:val="single"/>
    </w:rPr>
  </w:style>
  <w:style w:type="character" w:styleId="CommentReference">
    <w:name w:val="annotation reference"/>
    <w:basedOn w:val="DefaultParagraphFont"/>
    <w:uiPriority w:val="99"/>
    <w:semiHidden/>
    <w:unhideWhenUsed/>
    <w:rsid w:val="00AD7245"/>
    <w:rPr>
      <w:sz w:val="16"/>
      <w:szCs w:val="16"/>
    </w:rPr>
  </w:style>
  <w:style w:type="paragraph" w:styleId="CommentText">
    <w:name w:val="annotation text"/>
    <w:basedOn w:val="Normal"/>
    <w:link w:val="CommentTextChar"/>
    <w:uiPriority w:val="99"/>
    <w:unhideWhenUsed/>
    <w:rsid w:val="00AD7245"/>
    <w:rPr>
      <w:sz w:val="20"/>
      <w:szCs w:val="20"/>
    </w:rPr>
  </w:style>
  <w:style w:type="character" w:customStyle="1" w:styleId="CommentTextChar">
    <w:name w:val="Comment Text Char"/>
    <w:basedOn w:val="DefaultParagraphFont"/>
    <w:link w:val="CommentText"/>
    <w:uiPriority w:val="99"/>
    <w:rsid w:val="00AD7245"/>
    <w:rPr>
      <w:sz w:val="20"/>
      <w:szCs w:val="20"/>
      <w:lang w:val="en-US"/>
    </w:rPr>
  </w:style>
  <w:style w:type="paragraph" w:styleId="CommentSubject">
    <w:name w:val="annotation subject"/>
    <w:basedOn w:val="CommentText"/>
    <w:next w:val="CommentText"/>
    <w:link w:val="CommentSubjectChar"/>
    <w:uiPriority w:val="99"/>
    <w:semiHidden/>
    <w:unhideWhenUsed/>
    <w:rsid w:val="00AD7245"/>
    <w:rPr>
      <w:b/>
      <w:bCs/>
    </w:rPr>
  </w:style>
  <w:style w:type="character" w:customStyle="1" w:styleId="CommentSubjectChar">
    <w:name w:val="Comment Subject Char"/>
    <w:basedOn w:val="CommentTextChar"/>
    <w:link w:val="CommentSubject"/>
    <w:uiPriority w:val="99"/>
    <w:semiHidden/>
    <w:rsid w:val="00AD7245"/>
    <w:rPr>
      <w:b/>
      <w:bCs/>
      <w:sz w:val="20"/>
      <w:szCs w:val="20"/>
      <w:lang w:val="en-US"/>
    </w:rPr>
  </w:style>
  <w:style w:type="character" w:customStyle="1" w:styleId="Heading3Char">
    <w:name w:val="Heading 3 Char"/>
    <w:basedOn w:val="DefaultParagraphFont"/>
    <w:link w:val="Heading3"/>
    <w:uiPriority w:val="9"/>
    <w:semiHidden/>
    <w:rsid w:val="002D5A70"/>
    <w:rPr>
      <w:rFonts w:asciiTheme="majorHAnsi" w:eastAsiaTheme="majorEastAsia" w:hAnsiTheme="majorHAnsi" w:cstheme="majorBidi"/>
      <w:color w:val="714109" w:themeColor="accent1" w:themeShade="7F"/>
      <w:sz w:val="24"/>
      <w:szCs w:val="24"/>
      <w:lang w:val="en-US"/>
    </w:rPr>
  </w:style>
  <w:style w:type="paragraph" w:customStyle="1" w:styleId="Style1">
    <w:name w:val="Style1"/>
    <w:basedOn w:val="Heading3"/>
    <w:link w:val="Style1Char"/>
    <w:qFormat/>
    <w:rsid w:val="00466121"/>
    <w:rPr>
      <w:rFonts w:ascii="Helvetica" w:hAnsi="Helvetica"/>
      <w:color w:val="auto"/>
    </w:rPr>
  </w:style>
  <w:style w:type="character" w:customStyle="1" w:styleId="Style1Char">
    <w:name w:val="Style1 Char"/>
    <w:basedOn w:val="Heading3Char"/>
    <w:link w:val="Style1"/>
    <w:rsid w:val="00466121"/>
    <w:rPr>
      <w:rFonts w:ascii="Helvetica" w:eastAsiaTheme="majorEastAsia" w:hAnsi="Helvetica" w:cstheme="majorBidi"/>
      <w:color w:val="714109" w:themeColor="accent1" w:themeShade="7F"/>
      <w:sz w:val="24"/>
      <w:szCs w:val="24"/>
      <w:lang w:val="en-US"/>
    </w:rPr>
  </w:style>
  <w:style w:type="paragraph" w:styleId="FootnoteText">
    <w:name w:val="footnote text"/>
    <w:basedOn w:val="Normal"/>
    <w:link w:val="FootnoteTextChar"/>
    <w:uiPriority w:val="99"/>
    <w:semiHidden/>
    <w:unhideWhenUsed/>
    <w:rsid w:val="00953992"/>
    <w:rPr>
      <w:sz w:val="20"/>
      <w:szCs w:val="20"/>
    </w:rPr>
  </w:style>
  <w:style w:type="character" w:customStyle="1" w:styleId="FootnoteTextChar">
    <w:name w:val="Footnote Text Char"/>
    <w:basedOn w:val="DefaultParagraphFont"/>
    <w:link w:val="FootnoteText"/>
    <w:uiPriority w:val="99"/>
    <w:semiHidden/>
    <w:rsid w:val="00953992"/>
    <w:rPr>
      <w:sz w:val="20"/>
      <w:szCs w:val="20"/>
      <w:lang w:val="en-US"/>
    </w:rPr>
  </w:style>
  <w:style w:type="character" w:styleId="FootnoteReference">
    <w:name w:val="footnote reference"/>
    <w:basedOn w:val="DefaultParagraphFont"/>
    <w:uiPriority w:val="99"/>
    <w:semiHidden/>
    <w:unhideWhenUsed/>
    <w:rsid w:val="00953992"/>
    <w:rPr>
      <w:vertAlign w:val="superscript"/>
    </w:rPr>
  </w:style>
  <w:style w:type="paragraph" w:customStyle="1" w:styleId="EEREHead01">
    <w:name w:val="EERE_Head_01"/>
    <w:next w:val="Normal"/>
    <w:autoRedefine/>
    <w:qFormat/>
    <w:rsid w:val="00023753"/>
    <w:pPr>
      <w:keepNext/>
      <w:spacing w:before="240" w:after="60"/>
      <w:jc w:val="center"/>
    </w:pPr>
    <w:rPr>
      <w:rFonts w:ascii="Franklin Gothic Medium" w:eastAsia="Times" w:hAnsi="Franklin Gothic Medium" w:cs="Arial"/>
      <w:color w:val="017A3E"/>
      <w:kern w:val="24"/>
      <w:sz w:val="38"/>
      <w:szCs w:val="24"/>
      <w:lang w:val="en-US"/>
    </w:rPr>
  </w:style>
  <w:style w:type="paragraph" w:customStyle="1" w:styleId="EEREBodyText">
    <w:name w:val="EERE_Body_Text"/>
    <w:link w:val="EEREBodyTextChar"/>
    <w:autoRedefine/>
    <w:qFormat/>
    <w:rsid w:val="00664EC7"/>
    <w:pPr>
      <w:spacing w:after="120" w:line="276" w:lineRule="auto"/>
    </w:pPr>
    <w:rPr>
      <w:rFonts w:ascii="Times New Roman" w:eastAsia="Times" w:hAnsi="Times New Roman" w:cs="Times New Roman"/>
      <w:sz w:val="24"/>
      <w:szCs w:val="24"/>
      <w:lang w:val="en-US"/>
    </w:rPr>
  </w:style>
  <w:style w:type="character" w:customStyle="1" w:styleId="EEREBodyTextChar">
    <w:name w:val="EERE_Body_Text Char"/>
    <w:basedOn w:val="DefaultParagraphFont"/>
    <w:link w:val="EEREBodyText"/>
    <w:rsid w:val="00664EC7"/>
    <w:rPr>
      <w:rFonts w:ascii="Times New Roman" w:eastAsia="Times"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052652">
      <w:bodyDiv w:val="1"/>
      <w:marLeft w:val="0"/>
      <w:marRight w:val="0"/>
      <w:marTop w:val="0"/>
      <w:marBottom w:val="0"/>
      <w:divBdr>
        <w:top w:val="none" w:sz="0" w:space="0" w:color="auto"/>
        <w:left w:val="none" w:sz="0" w:space="0" w:color="auto"/>
        <w:bottom w:val="none" w:sz="0" w:space="0" w:color="auto"/>
        <w:right w:val="none" w:sz="0" w:space="0" w:color="auto"/>
      </w:divBdr>
    </w:div>
    <w:div w:id="650714220">
      <w:bodyDiv w:val="1"/>
      <w:marLeft w:val="0"/>
      <w:marRight w:val="0"/>
      <w:marTop w:val="0"/>
      <w:marBottom w:val="0"/>
      <w:divBdr>
        <w:top w:val="none" w:sz="0" w:space="0" w:color="auto"/>
        <w:left w:val="none" w:sz="0" w:space="0" w:color="auto"/>
        <w:bottom w:val="none" w:sz="0" w:space="0" w:color="auto"/>
        <w:right w:val="none" w:sz="0" w:space="0" w:color="auto"/>
      </w:divBdr>
    </w:div>
    <w:div w:id="955065924">
      <w:bodyDiv w:val="1"/>
      <w:marLeft w:val="0"/>
      <w:marRight w:val="0"/>
      <w:marTop w:val="0"/>
      <w:marBottom w:val="0"/>
      <w:divBdr>
        <w:top w:val="none" w:sz="0" w:space="0" w:color="auto"/>
        <w:left w:val="none" w:sz="0" w:space="0" w:color="auto"/>
        <w:bottom w:val="none" w:sz="0" w:space="0" w:color="auto"/>
        <w:right w:val="none" w:sz="0" w:space="0" w:color="auto"/>
      </w:divBdr>
      <w:divsChild>
        <w:div w:id="1692293785">
          <w:marLeft w:val="1166"/>
          <w:marRight w:val="0"/>
          <w:marTop w:val="96"/>
          <w:marBottom w:val="0"/>
          <w:divBdr>
            <w:top w:val="none" w:sz="0" w:space="0" w:color="auto"/>
            <w:left w:val="none" w:sz="0" w:space="0" w:color="auto"/>
            <w:bottom w:val="none" w:sz="0" w:space="0" w:color="auto"/>
            <w:right w:val="none" w:sz="0" w:space="0" w:color="auto"/>
          </w:divBdr>
        </w:div>
      </w:divsChild>
    </w:div>
    <w:div w:id="1048844608">
      <w:bodyDiv w:val="1"/>
      <w:marLeft w:val="0"/>
      <w:marRight w:val="0"/>
      <w:marTop w:val="0"/>
      <w:marBottom w:val="0"/>
      <w:divBdr>
        <w:top w:val="none" w:sz="0" w:space="0" w:color="auto"/>
        <w:left w:val="none" w:sz="0" w:space="0" w:color="auto"/>
        <w:bottom w:val="none" w:sz="0" w:space="0" w:color="auto"/>
        <w:right w:val="none" w:sz="0" w:space="0" w:color="auto"/>
      </w:divBdr>
    </w:div>
    <w:div w:id="1648122386">
      <w:bodyDiv w:val="1"/>
      <w:marLeft w:val="0"/>
      <w:marRight w:val="0"/>
      <w:marTop w:val="0"/>
      <w:marBottom w:val="0"/>
      <w:divBdr>
        <w:top w:val="none" w:sz="0" w:space="0" w:color="auto"/>
        <w:left w:val="none" w:sz="0" w:space="0" w:color="auto"/>
        <w:bottom w:val="none" w:sz="0" w:space="0" w:color="auto"/>
        <w:right w:val="none" w:sz="0" w:space="0" w:color="auto"/>
      </w:divBdr>
    </w:div>
    <w:div w:id="1779176805">
      <w:bodyDiv w:val="1"/>
      <w:marLeft w:val="0"/>
      <w:marRight w:val="0"/>
      <w:marTop w:val="0"/>
      <w:marBottom w:val="0"/>
      <w:divBdr>
        <w:top w:val="none" w:sz="0" w:space="0" w:color="auto"/>
        <w:left w:val="none" w:sz="0" w:space="0" w:color="auto"/>
        <w:bottom w:val="none" w:sz="0" w:space="0" w:color="auto"/>
        <w:right w:val="none" w:sz="0" w:space="0" w:color="auto"/>
      </w:divBdr>
    </w:div>
    <w:div w:id="2044137352">
      <w:bodyDiv w:val="1"/>
      <w:marLeft w:val="0"/>
      <w:marRight w:val="0"/>
      <w:marTop w:val="0"/>
      <w:marBottom w:val="0"/>
      <w:divBdr>
        <w:top w:val="none" w:sz="0" w:space="0" w:color="auto"/>
        <w:left w:val="none" w:sz="0" w:space="0" w:color="auto"/>
        <w:bottom w:val="none" w:sz="0" w:space="0" w:color="auto"/>
        <w:right w:val="none" w:sz="0" w:space="0" w:color="auto"/>
      </w:divBdr>
      <w:divsChild>
        <w:div w:id="1062866511">
          <w:marLeft w:val="720"/>
          <w:marRight w:val="0"/>
          <w:marTop w:val="0"/>
          <w:marBottom w:val="0"/>
          <w:divBdr>
            <w:top w:val="none" w:sz="0" w:space="0" w:color="auto"/>
            <w:left w:val="none" w:sz="0" w:space="0" w:color="auto"/>
            <w:bottom w:val="none" w:sz="0" w:space="0" w:color="auto"/>
            <w:right w:val="none" w:sz="0" w:space="0" w:color="auto"/>
          </w:divBdr>
        </w:div>
        <w:div w:id="1819103404">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cc02.safelinks.protection.outlook.com/?url=https%3A%2F%2Fwww.gao.gov%2Fproducts%2F424775&amp;data=04%7C01%7CDouglas.Gagne%40nrel.gov%7C8deda9248e9c46a1feaa08d8de976c97%7Ca0f29d7e28cd4f5484427885aee7c080%7C0%7C0%7C637504089239793455%7CUnknown%7CTWFpbGZsb3d8eyJWIjoiMC4wLjAwMDAiLCJQIjoiV2luMzIiLCJBTiI6Ik1haWwiLCJXVCI6Mn0%3D%7C1000&amp;sdata=wz%2FYwqMB0ehsDaI7AC7vgo1pDNL8XiGIEUbSX65BnrM%3D&amp;reserved=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sa.gov/real-estate/environmental-programs/energy-water-conservation/areawide-public-utility-contracts/download-contracts-modification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7.eere.energy.gov/femp/assistance/de-assistance" TargetMode="External"/><Relationship Id="rId5" Type="http://schemas.openxmlformats.org/officeDocument/2006/relationships/numbering" Target="numbering.xml"/><Relationship Id="rId15" Type="http://schemas.openxmlformats.org/officeDocument/2006/relationships/hyperlink" Target="https://www.dsireusa.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cc02.safelinks.protection.outlook.com/?url=https%3A%2F%2Fwww.gao.gov%2Fproducts%2F440542&amp;data=04%7C01%7CDouglas.Gagne%40nrel.gov%7C8deda9248e9c46a1feaa08d8de976c97%7Ca0f29d7e28cd4f5484427885aee7c080%7C0%7C0%7C637504089239803415%7CUnknown%7CTWFpbGZsb3d8eyJWIjoiMC4wLjAwMDAiLCJQIjoiV2luMzIiLCJBTiI6Ik1haWwiLCJXVCI6Mn0%3D%7C1000&amp;sdata=Yos%2FwRjXVScVOV%2F0EaXULJXClQpbRdyA9bnItPAU91g%3D&amp;reserved=0" TargetMode="External"/></Relationships>
</file>

<file path=word/theme/theme1.xml><?xml version="1.0" encoding="utf-8"?>
<a:theme xmlns:a="http://schemas.openxmlformats.org/drawingml/2006/main" name="Office Theme">
  <a:themeElements>
    <a:clrScheme name="Orange">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Custom 33">
      <a:majorFont>
        <a:latin typeface="Baskerville Old Face"/>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dc7352e55e77714fab0739bd1a2ce12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b47b806cf7e90fe7257fa1ff83c741bf"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AA032-855D-4D88-9EFB-3C0B4AB5BF01}">
  <ds:schemaRefs>
    <ds:schemaRef ds:uri="http://purl.org/dc/terms/"/>
    <ds:schemaRef ds:uri="http://schemas.openxmlformats.org/package/2006/metadata/core-properties"/>
    <ds:schemaRef ds:uri="16c05727-aa75-4e4a-9b5f-8a80a1165891"/>
    <ds:schemaRef ds:uri="http://schemas.microsoft.com/office/2006/documentManagement/types"/>
    <ds:schemaRef ds:uri="http://schemas.microsoft.com/office/infopath/2007/PartnerControls"/>
    <ds:schemaRef ds:uri="http://purl.org/dc/elements/1.1/"/>
    <ds:schemaRef ds:uri="http://schemas.microsoft.com/office/2006/metadata/properties"/>
    <ds:schemaRef ds:uri="71af3243-3dd4-4a8d-8c0d-dd76da1f02a5"/>
    <ds:schemaRef ds:uri="http://www.w3.org/XML/1998/namespace"/>
    <ds:schemaRef ds:uri="http://purl.org/dc/dcmitype/"/>
  </ds:schemaRefs>
</ds:datastoreItem>
</file>

<file path=customXml/itemProps2.xml><?xml version="1.0" encoding="utf-8"?>
<ds:datastoreItem xmlns:ds="http://schemas.openxmlformats.org/officeDocument/2006/customXml" ds:itemID="{0C25AFDA-7A2B-41E0-8C58-B72152381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9A093B-A384-41FC-9E4C-1C610256DE54}">
  <ds:schemaRefs>
    <ds:schemaRef ds:uri="http://schemas.microsoft.com/sharepoint/v3/contenttype/forms"/>
  </ds:schemaRefs>
</ds:datastoreItem>
</file>

<file path=customXml/itemProps4.xml><?xml version="1.0" encoding="utf-8"?>
<ds:datastoreItem xmlns:ds="http://schemas.openxmlformats.org/officeDocument/2006/customXml" ds:itemID="{342D6076-89E4-42F3-BD0B-95916F14D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3869</Words>
  <Characters>21245</Characters>
  <Application>Microsoft Office Word</Application>
  <DocSecurity>0</DocSecurity>
  <Lines>574</Lines>
  <Paragraphs>363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Distributed Energy Interconnection Checklist</dc:title>
  <dc:subject>Checklist provides federal site managers with a series of tasks and questions to ask their utility, broken out by each interconnection process step. These checklist items are applicable to most types and sizes of distributed energy regardless of implementation method.</dc:subject>
  <dc:creator/>
  <cp:keywords>FEMP, DOE, September 2021</cp:keywords>
  <dc:description/>
  <cp:lastModifiedBy/>
  <cp:revision>1</cp:revision>
  <dcterms:created xsi:type="dcterms:W3CDTF">2021-09-02T22:19:00Z</dcterms:created>
  <dcterms:modified xsi:type="dcterms:W3CDTF">2021-09-02T22:22:00Z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