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E7832" w14:textId="77777777" w:rsidR="009B30B1" w:rsidRPr="009B30B1" w:rsidRDefault="009B30B1" w:rsidP="009B30B1">
      <w:pPr>
        <w:keepNext/>
        <w:keepLines/>
        <w:spacing w:after="120" w:line="276" w:lineRule="auto"/>
        <w:outlineLvl w:val="2"/>
        <w:rPr>
          <w:rFonts w:ascii="Arial" w:eastAsia="MS Gothic" w:hAnsi="Arial" w:cs="Times New Roman"/>
          <w:b/>
          <w:bCs/>
          <w:color w:val="4F81BD"/>
          <w:sz w:val="24"/>
          <w:szCs w:val="20"/>
        </w:rPr>
      </w:pPr>
      <w:bookmarkStart w:id="0" w:name="_Toc415132146"/>
      <w:bookmarkStart w:id="1" w:name="_Toc415132900"/>
      <w:bookmarkStart w:id="2" w:name="_Toc415133266"/>
      <w:bookmarkStart w:id="3" w:name="_Toc415133459"/>
      <w:bookmarkStart w:id="4" w:name="_Toc415133655"/>
      <w:bookmarkStart w:id="5" w:name="_Toc39838492"/>
      <w:bookmarkStart w:id="6" w:name="_Toc39838730"/>
      <w:bookmarkStart w:id="7" w:name="_Toc39838804"/>
      <w:bookmarkStart w:id="8" w:name="_Toc39838840"/>
      <w:r w:rsidRPr="009B30B1">
        <w:rPr>
          <w:rFonts w:ascii="Arial" w:eastAsia="MS Gothic" w:hAnsi="Arial" w:cs="Times New Roman"/>
          <w:b/>
          <w:bCs/>
          <w:color w:val="4F81BD"/>
          <w:sz w:val="24"/>
          <w:szCs w:val="20"/>
        </w:rPr>
        <w:t>PA SOW – Template</w:t>
      </w:r>
      <w:bookmarkEnd w:id="0"/>
      <w:bookmarkEnd w:id="1"/>
      <w:bookmarkEnd w:id="2"/>
      <w:bookmarkEnd w:id="3"/>
      <w:bookmarkEnd w:id="4"/>
      <w:bookmarkEnd w:id="5"/>
      <w:bookmarkEnd w:id="6"/>
      <w:bookmarkEnd w:id="7"/>
      <w:bookmarkEnd w:id="8"/>
      <w:r w:rsidRPr="009B30B1">
        <w:rPr>
          <w:rFonts w:ascii="Arial" w:eastAsia="MS Gothic" w:hAnsi="Arial" w:cs="Times New Roman"/>
          <w:b/>
          <w:bCs/>
          <w:color w:val="4F81BD"/>
          <w:sz w:val="24"/>
          <w:szCs w:val="20"/>
        </w:rPr>
        <w:t xml:space="preserve">  </w:t>
      </w:r>
    </w:p>
    <w:p w14:paraId="125600CA" w14:textId="77777777" w:rsidR="009B30B1" w:rsidRPr="009B30B1" w:rsidRDefault="009B30B1" w:rsidP="009B30B1">
      <w:pPr>
        <w:spacing w:after="0" w:line="240" w:lineRule="auto"/>
        <w:rPr>
          <w:rFonts w:ascii="Calibri" w:eastAsia="MS Gothic" w:hAnsi="Calibri" w:cs="Calibri"/>
          <w:sz w:val="24"/>
          <w:szCs w:val="24"/>
        </w:rPr>
      </w:pPr>
      <w:r w:rsidRPr="009B30B1">
        <w:rPr>
          <w:rFonts w:ascii="Calibri" w:eastAsia="MS Gothic" w:hAnsi="Calibri" w:cs="Calibri"/>
          <w:sz w:val="24"/>
          <w:szCs w:val="24"/>
        </w:rPr>
        <w:t xml:space="preserve">The following Statement of Work (SOW) for the PA was developed from an actual project that included multiple buildings and </w:t>
      </w:r>
      <w:proofErr w:type="gramStart"/>
      <w:r w:rsidRPr="009B30B1">
        <w:rPr>
          <w:rFonts w:ascii="Calibri" w:eastAsia="MS Gothic" w:hAnsi="Calibri" w:cs="Calibri"/>
          <w:sz w:val="24"/>
          <w:szCs w:val="24"/>
        </w:rPr>
        <w:t>agency-identified</w:t>
      </w:r>
      <w:proofErr w:type="gramEnd"/>
      <w:r w:rsidRPr="009B30B1">
        <w:rPr>
          <w:rFonts w:ascii="Calibri" w:eastAsia="MS Gothic" w:hAnsi="Calibri" w:cs="Calibri"/>
          <w:sz w:val="24"/>
          <w:szCs w:val="24"/>
        </w:rPr>
        <w:t xml:space="preserve"> ECMs for each building which the agency described succinctly in a table. The PA was effectively used to identify a series of projects to be implemented over time. </w:t>
      </w:r>
    </w:p>
    <w:p w14:paraId="08690B12" w14:textId="77777777" w:rsidR="009B30B1" w:rsidRPr="009B30B1" w:rsidRDefault="009B30B1" w:rsidP="009B30B1">
      <w:pPr>
        <w:spacing w:after="0" w:line="240" w:lineRule="auto"/>
        <w:rPr>
          <w:rFonts w:ascii="Calibri" w:eastAsia="MS Gothic" w:hAnsi="Calibri" w:cs="Calibri"/>
          <w:sz w:val="24"/>
          <w:szCs w:val="24"/>
        </w:rPr>
      </w:pPr>
    </w:p>
    <w:p w14:paraId="40DA622B" w14:textId="77777777" w:rsidR="009B30B1" w:rsidRPr="009B30B1" w:rsidRDefault="009B30B1" w:rsidP="009B30B1">
      <w:pPr>
        <w:spacing w:after="0" w:line="240" w:lineRule="auto"/>
        <w:rPr>
          <w:rFonts w:ascii="Calibri" w:eastAsia="MS Gothic" w:hAnsi="Calibri" w:cs="Calibri"/>
          <w:sz w:val="24"/>
          <w:szCs w:val="24"/>
        </w:rPr>
      </w:pPr>
      <w:r w:rsidRPr="009B30B1">
        <w:rPr>
          <w:rFonts w:ascii="Calibri" w:eastAsia="MS Gothic" w:hAnsi="Calibri" w:cs="Calibri"/>
          <w:sz w:val="24"/>
          <w:szCs w:val="24"/>
        </w:rPr>
        <w:t>Some agencies, depending on project size and scope, will not require a PA or need to refer to this template, but will alternatively use an in-house assessment for the initial project scope, and/or skip the PA and start with an IGA.</w:t>
      </w:r>
    </w:p>
    <w:p w14:paraId="14F4E10B" w14:textId="77777777" w:rsidR="009B30B1" w:rsidRPr="009B30B1" w:rsidRDefault="009B30B1" w:rsidP="009B30B1">
      <w:pPr>
        <w:spacing w:after="0" w:line="240" w:lineRule="auto"/>
        <w:rPr>
          <w:rFonts w:ascii="Calibri" w:eastAsia="MS Gothic" w:hAnsi="Calibri" w:cs="Calibri"/>
          <w:sz w:val="24"/>
          <w:szCs w:val="24"/>
        </w:rPr>
      </w:pPr>
    </w:p>
    <w:p w14:paraId="116A192C" w14:textId="77777777" w:rsidR="009B30B1" w:rsidRPr="009B30B1" w:rsidRDefault="009B30B1" w:rsidP="009B30B1">
      <w:pPr>
        <w:autoSpaceDE w:val="0"/>
        <w:autoSpaceDN w:val="0"/>
        <w:adjustRightInd w:val="0"/>
        <w:spacing w:after="0" w:line="240" w:lineRule="auto"/>
        <w:rPr>
          <w:rFonts w:ascii="Times New Roman" w:eastAsia="Calibri" w:hAnsi="Times New Roman" w:cs="Times New Roman"/>
          <w:color w:val="000000"/>
          <w:sz w:val="24"/>
          <w:szCs w:val="24"/>
        </w:rPr>
      </w:pPr>
      <w:r w:rsidRPr="009B30B1">
        <w:rPr>
          <w:rFonts w:ascii="Times New Roman" w:eastAsia="Calibri" w:hAnsi="Times New Roman" w:cs="Times New Roman"/>
          <w:color w:val="000000"/>
          <w:sz w:val="24"/>
          <w:szCs w:val="24"/>
        </w:rPr>
        <w:br w:type="page"/>
      </w:r>
    </w:p>
    <w:p w14:paraId="2E546CF9" w14:textId="77777777" w:rsidR="009B30B1" w:rsidRPr="009B30B1" w:rsidRDefault="009B30B1" w:rsidP="009B30B1">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9B30B1">
        <w:rPr>
          <w:rFonts w:ascii="Calibri" w:eastAsia="Times New Roman" w:hAnsi="Calibri" w:cs="Calibri"/>
          <w:b/>
          <w:sz w:val="24"/>
        </w:rPr>
        <w:lastRenderedPageBreak/>
        <w:t>PA SOW</w:t>
      </w:r>
      <w:r w:rsidRPr="009B30B1">
        <w:rPr>
          <w:rFonts w:ascii="Calibri" w:eastAsia="Times New Roman" w:hAnsi="Calibri" w:cs="Calibri"/>
          <w:b/>
          <w:sz w:val="24"/>
        </w:rPr>
        <w:br/>
        <w:t>Template</w:t>
      </w:r>
    </w:p>
    <w:p w14:paraId="77E56AF0" w14:textId="77777777" w:rsidR="009B30B1" w:rsidRPr="009B30B1" w:rsidRDefault="009B30B1" w:rsidP="009B30B1">
      <w:pPr>
        <w:autoSpaceDE w:val="0"/>
        <w:autoSpaceDN w:val="0"/>
        <w:adjustRightInd w:val="0"/>
        <w:spacing w:after="0" w:line="240" w:lineRule="auto"/>
        <w:rPr>
          <w:rFonts w:ascii="Times New Roman" w:eastAsia="Calibri" w:hAnsi="Times New Roman" w:cs="Times New Roman"/>
          <w:color w:val="000000"/>
          <w:sz w:val="24"/>
          <w:szCs w:val="24"/>
        </w:rPr>
      </w:pPr>
    </w:p>
    <w:p w14:paraId="37447B44" w14:textId="77777777" w:rsidR="009B30B1" w:rsidRPr="009B30B1" w:rsidRDefault="009B30B1" w:rsidP="009B30B1">
      <w:pPr>
        <w:autoSpaceDE w:val="0"/>
        <w:autoSpaceDN w:val="0"/>
        <w:adjustRightInd w:val="0"/>
        <w:spacing w:after="240" w:line="240" w:lineRule="auto"/>
        <w:rPr>
          <w:rFonts w:ascii="Calibri" w:eastAsia="MS Gothic" w:hAnsi="Calibri" w:cs="Calibri"/>
          <w:color w:val="000000"/>
        </w:rPr>
      </w:pPr>
      <w:r w:rsidRPr="009B30B1">
        <w:rPr>
          <w:rFonts w:ascii="Calibri" w:eastAsia="MS Gothic" w:hAnsi="Calibri" w:cs="Calibri"/>
          <w:b/>
          <w:bCs/>
          <w:color w:val="000000"/>
        </w:rPr>
        <w:t xml:space="preserve">1.0 PURPOSE, SCOPE, AND GOALS </w:t>
      </w:r>
    </w:p>
    <w:p w14:paraId="59399FC4" w14:textId="77777777" w:rsidR="009B30B1" w:rsidRPr="009B30B1" w:rsidRDefault="009B30B1" w:rsidP="009B30B1">
      <w:pPr>
        <w:autoSpaceDE w:val="0"/>
        <w:autoSpaceDN w:val="0"/>
        <w:adjustRightInd w:val="0"/>
        <w:spacing w:after="240" w:line="240" w:lineRule="auto"/>
        <w:ind w:left="346" w:right="158" w:hanging="346"/>
        <w:rPr>
          <w:rFonts w:ascii="Calibri" w:eastAsia="MS Gothic" w:hAnsi="Calibri" w:cs="Calibri"/>
          <w:color w:val="000000"/>
        </w:rPr>
      </w:pPr>
      <w:r w:rsidRPr="009B30B1">
        <w:rPr>
          <w:rFonts w:ascii="Calibri" w:eastAsia="MS Gothic" w:hAnsi="Calibri" w:cs="Calibri"/>
          <w:b/>
          <w:bCs/>
          <w:color w:val="000000"/>
        </w:rPr>
        <w:t xml:space="preserve">1.1 PURPOSE </w:t>
      </w:r>
      <w:r w:rsidRPr="009B30B1">
        <w:rPr>
          <w:rFonts w:ascii="Calibri" w:eastAsia="MS Gothic" w:hAnsi="Calibri" w:cs="Calibri"/>
          <w:color w:val="000000"/>
        </w:rPr>
        <w:t xml:space="preserve">— The Work to be performed consists of completing an assessment of buildings and facilities located at </w:t>
      </w:r>
      <w:r w:rsidRPr="009B30B1">
        <w:rPr>
          <w:rFonts w:ascii="Calibri" w:eastAsia="MS Gothic" w:hAnsi="Calibri" w:cs="Calibri"/>
          <w:color w:val="000000"/>
          <w:u w:val="single"/>
        </w:rPr>
        <w:t>_______________</w:t>
      </w:r>
      <w:r w:rsidRPr="009B30B1">
        <w:rPr>
          <w:rFonts w:ascii="Calibri" w:eastAsia="MS Gothic" w:hAnsi="Calibri" w:cs="Calibri"/>
          <w:color w:val="000000"/>
        </w:rPr>
        <w:t xml:space="preserve">, </w:t>
      </w:r>
      <w:r w:rsidRPr="009B30B1">
        <w:rPr>
          <w:rFonts w:ascii="Calibri" w:eastAsia="MS Gothic" w:hAnsi="Calibri" w:cs="Calibri"/>
          <w:color w:val="000000"/>
          <w:u w:val="single"/>
        </w:rPr>
        <w:t>____________</w:t>
      </w:r>
      <w:r w:rsidRPr="009B30B1">
        <w:rPr>
          <w:rFonts w:ascii="Calibri" w:eastAsia="MS Gothic" w:hAnsi="Calibri" w:cs="Calibri"/>
          <w:color w:val="000000"/>
        </w:rPr>
        <w:t xml:space="preserve"> to identify ECMs and provide sufficient detail for each ECM to determine which are candidates for an IGA and potentially installed as part of a UESC. </w:t>
      </w:r>
    </w:p>
    <w:p w14:paraId="12B307A9" w14:textId="77777777" w:rsidR="009B30B1" w:rsidRPr="009B30B1" w:rsidRDefault="009B30B1" w:rsidP="009B30B1">
      <w:pPr>
        <w:autoSpaceDE w:val="0"/>
        <w:autoSpaceDN w:val="0"/>
        <w:adjustRightInd w:val="0"/>
        <w:spacing w:after="240" w:line="240" w:lineRule="auto"/>
        <w:ind w:left="346" w:right="158" w:hanging="346"/>
        <w:rPr>
          <w:rFonts w:ascii="Calibri" w:eastAsia="MS Gothic" w:hAnsi="Calibri" w:cs="Calibri"/>
          <w:color w:val="000000"/>
        </w:rPr>
      </w:pPr>
      <w:r w:rsidRPr="009B30B1">
        <w:rPr>
          <w:rFonts w:ascii="Calibri" w:eastAsia="MS Gothic" w:hAnsi="Calibri" w:cs="Calibri"/>
          <w:b/>
          <w:bCs/>
          <w:color w:val="000000"/>
        </w:rPr>
        <w:t xml:space="preserve">1.2 SCOPE </w:t>
      </w:r>
      <w:r w:rsidRPr="009B30B1">
        <w:rPr>
          <w:rFonts w:ascii="Calibri" w:eastAsia="MS Gothic" w:hAnsi="Calibri" w:cs="Calibri"/>
          <w:color w:val="000000"/>
        </w:rPr>
        <w:t xml:space="preserve">— An assessment shall be conducted for the </w:t>
      </w:r>
      <w:r w:rsidRPr="009B30B1">
        <w:rPr>
          <w:rFonts w:ascii="Calibri" w:eastAsia="MS Gothic" w:hAnsi="Calibri" w:cs="Calibri"/>
          <w:i/>
          <w:color w:val="000000"/>
          <w:u w:val="single"/>
        </w:rPr>
        <w:t>facilities/buildings/systems</w:t>
      </w:r>
      <w:r w:rsidRPr="009B30B1">
        <w:rPr>
          <w:rFonts w:ascii="Calibri" w:eastAsia="MS Gothic" w:hAnsi="Calibri" w:cs="Calibri"/>
          <w:color w:val="000000"/>
        </w:rPr>
        <w:t xml:space="preserve"> identified in </w:t>
      </w:r>
      <w:r w:rsidRPr="009B30B1">
        <w:rPr>
          <w:rFonts w:ascii="Calibri" w:eastAsia="MS Gothic" w:hAnsi="Calibri" w:cs="Calibri"/>
          <w:i/>
          <w:color w:val="000000"/>
          <w:u w:val="single"/>
        </w:rPr>
        <w:t xml:space="preserve">Exhibit </w:t>
      </w:r>
      <w:proofErr w:type="gramStart"/>
      <w:r w:rsidRPr="009B30B1">
        <w:rPr>
          <w:rFonts w:ascii="Calibri" w:eastAsia="MS Gothic" w:hAnsi="Calibri" w:cs="Calibri"/>
          <w:i/>
          <w:color w:val="000000"/>
          <w:u w:val="single"/>
        </w:rPr>
        <w:t>A  and</w:t>
      </w:r>
      <w:proofErr w:type="gramEnd"/>
      <w:r w:rsidRPr="009B30B1">
        <w:rPr>
          <w:rFonts w:ascii="Calibri" w:eastAsia="MS Gothic" w:hAnsi="Calibri" w:cs="Calibri"/>
          <w:i/>
          <w:color w:val="000000"/>
          <w:u w:val="single"/>
        </w:rPr>
        <w:t xml:space="preserve"> Table 1</w:t>
      </w:r>
      <w:r w:rsidRPr="009B30B1">
        <w:rPr>
          <w:rFonts w:ascii="Calibri" w:eastAsia="MS Gothic" w:hAnsi="Calibri" w:cs="Calibri"/>
          <w:color w:val="000000"/>
        </w:rPr>
        <w:t xml:space="preserve">. The description of these </w:t>
      </w:r>
      <w:r w:rsidRPr="009B30B1">
        <w:rPr>
          <w:rFonts w:ascii="Calibri" w:eastAsia="MS Gothic" w:hAnsi="Calibri" w:cs="Calibri"/>
          <w:i/>
          <w:color w:val="000000"/>
          <w:u w:val="single"/>
        </w:rPr>
        <w:t>facilities/buildings/systems</w:t>
      </w:r>
      <w:r w:rsidRPr="009B30B1">
        <w:rPr>
          <w:rFonts w:ascii="Calibri" w:eastAsia="MS Gothic" w:hAnsi="Calibri" w:cs="Calibri"/>
          <w:color w:val="000000"/>
        </w:rPr>
        <w:t xml:space="preserve"> may be adjusted to include additional items that are discovered during the site investigation and that could result in energy or water savings or associated cost savings. The assessment shall comply with requirements of 42 USC 8253 (f).</w:t>
      </w:r>
    </w:p>
    <w:p w14:paraId="79398F9F" w14:textId="77777777" w:rsidR="009B30B1" w:rsidRPr="009B30B1" w:rsidRDefault="009B30B1" w:rsidP="009B30B1">
      <w:pPr>
        <w:autoSpaceDE w:val="0"/>
        <w:autoSpaceDN w:val="0"/>
        <w:adjustRightInd w:val="0"/>
        <w:spacing w:after="0" w:line="240" w:lineRule="auto"/>
        <w:ind w:left="720" w:right="212" w:hanging="720"/>
        <w:rPr>
          <w:rFonts w:ascii="Calibri" w:eastAsia="MS Gothic" w:hAnsi="Calibri" w:cs="Calibri"/>
          <w:color w:val="000000"/>
        </w:rPr>
      </w:pPr>
      <w:r w:rsidRPr="009B30B1">
        <w:rPr>
          <w:rFonts w:ascii="Calibri" w:eastAsia="MS Gothic" w:hAnsi="Calibri" w:cs="Calibri"/>
          <w:b/>
          <w:bCs/>
          <w:color w:val="000000"/>
        </w:rPr>
        <w:t xml:space="preserve">1.3 GOALS </w:t>
      </w:r>
      <w:r w:rsidRPr="009B30B1">
        <w:rPr>
          <w:rFonts w:ascii="Calibri" w:eastAsia="MS Gothic" w:hAnsi="Calibri" w:cs="Calibri"/>
          <w:color w:val="000000"/>
        </w:rPr>
        <w:t xml:space="preserve">— The following are the primary goals for ECMs identified from this assessment. </w:t>
      </w:r>
    </w:p>
    <w:p w14:paraId="3047AD91" w14:textId="77777777" w:rsidR="009B30B1" w:rsidRPr="009B30B1" w:rsidRDefault="009B30B1" w:rsidP="009B30B1">
      <w:pPr>
        <w:numPr>
          <w:ilvl w:val="0"/>
          <w:numId w:val="6"/>
        </w:numPr>
        <w:autoSpaceDE w:val="0"/>
        <w:autoSpaceDN w:val="0"/>
        <w:adjustRightInd w:val="0"/>
        <w:spacing w:after="0" w:line="240" w:lineRule="auto"/>
        <w:rPr>
          <w:rFonts w:ascii="Calibri" w:eastAsia="Calibri" w:hAnsi="Calibri" w:cs="Calibri"/>
          <w:color w:val="000000"/>
        </w:rPr>
      </w:pPr>
      <w:r w:rsidRPr="009B30B1">
        <w:rPr>
          <w:rFonts w:ascii="Calibri" w:eastAsia="Calibri" w:hAnsi="Calibri" w:cs="Calibri"/>
          <w:color w:val="000000"/>
        </w:rPr>
        <w:t xml:space="preserve">ECMs and projects shall be in the best interest of the </w:t>
      </w:r>
      <w:r w:rsidRPr="009B30B1">
        <w:rPr>
          <w:rFonts w:ascii="Calibri" w:eastAsia="Calibri" w:hAnsi="Calibri" w:cs="Calibri"/>
          <w:i/>
          <w:color w:val="000000"/>
          <w:u w:val="single"/>
        </w:rPr>
        <w:t>government/agency/mission</w:t>
      </w:r>
      <w:r w:rsidRPr="009B30B1">
        <w:rPr>
          <w:rFonts w:ascii="Calibri" w:eastAsia="Calibri" w:hAnsi="Calibri" w:cs="Calibri"/>
          <w:color w:val="000000"/>
        </w:rPr>
        <w:t xml:space="preserve"> and ranked based on </w:t>
      </w:r>
      <w:r w:rsidRPr="009B30B1">
        <w:rPr>
          <w:rFonts w:ascii="Calibri" w:eastAsia="Calibri" w:hAnsi="Calibri" w:cs="Calibri"/>
          <w:i/>
          <w:color w:val="000000"/>
          <w:u w:val="single"/>
        </w:rPr>
        <w:t>need/facility and reliability improvements/economics</w:t>
      </w:r>
      <w:r w:rsidRPr="009B30B1">
        <w:rPr>
          <w:rFonts w:ascii="Calibri" w:eastAsia="Calibri" w:hAnsi="Calibri" w:cs="Calibri"/>
          <w:color w:val="000000"/>
        </w:rPr>
        <w:t xml:space="preserve">. </w:t>
      </w:r>
    </w:p>
    <w:p w14:paraId="48DA4F3E" w14:textId="77777777" w:rsidR="009B30B1" w:rsidRPr="009B30B1" w:rsidRDefault="009B30B1" w:rsidP="009B30B1">
      <w:pPr>
        <w:numPr>
          <w:ilvl w:val="0"/>
          <w:numId w:val="6"/>
        </w:numPr>
        <w:autoSpaceDE w:val="0"/>
        <w:autoSpaceDN w:val="0"/>
        <w:adjustRightInd w:val="0"/>
        <w:spacing w:after="0" w:line="240" w:lineRule="auto"/>
        <w:rPr>
          <w:rFonts w:ascii="Calibri" w:eastAsia="Calibri" w:hAnsi="Calibri" w:cs="Calibri"/>
          <w:color w:val="000000"/>
        </w:rPr>
      </w:pPr>
      <w:r w:rsidRPr="009B30B1">
        <w:rPr>
          <w:rFonts w:ascii="Calibri" w:eastAsia="Calibri" w:hAnsi="Calibri" w:cs="Calibri"/>
          <w:color w:val="000000"/>
        </w:rPr>
        <w:t xml:space="preserve">Meeting the previous point, incentives, reduction in consumption, and cost savings will be maximized. </w:t>
      </w:r>
    </w:p>
    <w:p w14:paraId="7A1EE6DF" w14:textId="77777777" w:rsidR="009B30B1" w:rsidRPr="009B30B1" w:rsidRDefault="009B30B1" w:rsidP="009B30B1">
      <w:pPr>
        <w:numPr>
          <w:ilvl w:val="0"/>
          <w:numId w:val="6"/>
        </w:numPr>
        <w:autoSpaceDE w:val="0"/>
        <w:autoSpaceDN w:val="0"/>
        <w:adjustRightInd w:val="0"/>
        <w:spacing w:after="0" w:line="240" w:lineRule="auto"/>
        <w:rPr>
          <w:rFonts w:ascii="Calibri" w:eastAsia="Calibri" w:hAnsi="Calibri" w:cs="Calibri"/>
          <w:color w:val="000000"/>
        </w:rPr>
      </w:pPr>
      <w:r w:rsidRPr="009B30B1">
        <w:rPr>
          <w:rFonts w:ascii="Calibri" w:eastAsia="Calibri" w:hAnsi="Calibri" w:cs="Calibri"/>
          <w:color w:val="000000"/>
        </w:rPr>
        <w:t xml:space="preserve">Impacts to personnel and increased maintenance requirements will be minimized. </w:t>
      </w:r>
    </w:p>
    <w:p w14:paraId="0E8BE1B1" w14:textId="77777777" w:rsidR="009B30B1" w:rsidRPr="009B30B1" w:rsidRDefault="009B30B1" w:rsidP="009B30B1">
      <w:pPr>
        <w:numPr>
          <w:ilvl w:val="0"/>
          <w:numId w:val="6"/>
        </w:numPr>
        <w:autoSpaceDE w:val="0"/>
        <w:autoSpaceDN w:val="0"/>
        <w:adjustRightInd w:val="0"/>
        <w:spacing w:after="240" w:line="240" w:lineRule="auto"/>
        <w:rPr>
          <w:rFonts w:ascii="Calibri" w:eastAsia="Calibri" w:hAnsi="Calibri" w:cs="Calibri"/>
          <w:color w:val="000000"/>
        </w:rPr>
      </w:pPr>
      <w:r w:rsidRPr="009B30B1">
        <w:rPr>
          <w:rFonts w:ascii="Calibri" w:eastAsia="Calibri" w:hAnsi="Calibri" w:cs="Calibri"/>
          <w:color w:val="000000"/>
        </w:rPr>
        <w:t xml:space="preserve">ECMs will be logically combined into larger projects to improve project costs. </w:t>
      </w:r>
    </w:p>
    <w:p w14:paraId="275DED56" w14:textId="77777777" w:rsidR="009B30B1" w:rsidRPr="009B30B1" w:rsidRDefault="009B30B1" w:rsidP="009B30B1">
      <w:p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b/>
          <w:bCs/>
          <w:color w:val="000000"/>
        </w:rPr>
        <w:t xml:space="preserve">2.0 SITE ADDRESSES &amp; POINTS OF CONTACT  </w:t>
      </w:r>
    </w:p>
    <w:p w14:paraId="5966D242" w14:textId="77777777" w:rsidR="009B30B1" w:rsidRPr="009B30B1" w:rsidRDefault="009B30B1" w:rsidP="009B30B1">
      <w:pPr>
        <w:autoSpaceDE w:val="0"/>
        <w:autoSpaceDN w:val="0"/>
        <w:adjustRightInd w:val="0"/>
        <w:spacing w:after="0" w:line="240" w:lineRule="auto"/>
        <w:ind w:left="360"/>
        <w:rPr>
          <w:rFonts w:ascii="Calibri" w:eastAsia="MS Gothic" w:hAnsi="Calibri" w:cs="Calibri"/>
          <w:color w:val="000000"/>
        </w:rPr>
      </w:pPr>
      <w:r w:rsidRPr="009B30B1">
        <w:rPr>
          <w:rFonts w:ascii="Calibri" w:eastAsia="MS Gothic" w:hAnsi="Calibri" w:cs="Calibri"/>
          <w:b/>
          <w:bCs/>
          <w:iCs/>
          <w:color w:val="000000"/>
        </w:rPr>
        <w:t xml:space="preserve">Utility Company Name: </w:t>
      </w:r>
    </w:p>
    <w:p w14:paraId="589D1BE5" w14:textId="77777777" w:rsidR="009B30B1" w:rsidRPr="009B30B1" w:rsidRDefault="009B30B1" w:rsidP="009B30B1">
      <w:pPr>
        <w:numPr>
          <w:ilvl w:val="0"/>
          <w:numId w:val="1"/>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iCs/>
          <w:color w:val="000000"/>
        </w:rPr>
        <w:t xml:space="preserve">Utility Representative, including </w:t>
      </w:r>
      <w:r w:rsidRPr="009B30B1">
        <w:rPr>
          <w:rFonts w:ascii="Calibri" w:eastAsia="MS Gothic" w:hAnsi="Calibri" w:cs="Calibri"/>
          <w:color w:val="000000"/>
        </w:rPr>
        <w:t xml:space="preserve">Address, Phone Number, and E-mail Address </w:t>
      </w:r>
    </w:p>
    <w:p w14:paraId="1E440BF1" w14:textId="77777777" w:rsidR="009B30B1" w:rsidRPr="009B30B1" w:rsidRDefault="009B30B1" w:rsidP="009B30B1">
      <w:pPr>
        <w:numPr>
          <w:ilvl w:val="0"/>
          <w:numId w:val="1"/>
        </w:numPr>
        <w:spacing w:after="0" w:line="240" w:lineRule="auto"/>
        <w:ind w:left="720"/>
        <w:rPr>
          <w:rFonts w:ascii="Calibri" w:eastAsia="MS Gothic" w:hAnsi="Calibri" w:cs="Calibri"/>
          <w:iCs/>
          <w:color w:val="000000"/>
        </w:rPr>
      </w:pPr>
      <w:r w:rsidRPr="009B30B1">
        <w:rPr>
          <w:rFonts w:ascii="Calibri" w:eastAsia="MS Gothic" w:hAnsi="Calibri" w:cs="Calibri"/>
          <w:iCs/>
          <w:color w:val="000000"/>
        </w:rPr>
        <w:t xml:space="preserve">Second Utility Representative, including Address, Phone Number, and E-mail Address </w:t>
      </w:r>
    </w:p>
    <w:p w14:paraId="338AD7AC" w14:textId="77777777" w:rsidR="009B30B1" w:rsidRPr="009B30B1" w:rsidRDefault="009B30B1" w:rsidP="009B30B1">
      <w:pPr>
        <w:autoSpaceDE w:val="0"/>
        <w:autoSpaceDN w:val="0"/>
        <w:adjustRightInd w:val="0"/>
        <w:spacing w:after="0" w:line="240" w:lineRule="auto"/>
        <w:ind w:left="360"/>
        <w:rPr>
          <w:rFonts w:ascii="Calibri" w:eastAsia="MS Gothic" w:hAnsi="Calibri" w:cs="Calibri"/>
          <w:color w:val="000000"/>
        </w:rPr>
      </w:pPr>
      <w:r w:rsidRPr="009B30B1">
        <w:rPr>
          <w:rFonts w:ascii="Calibri" w:eastAsia="MS Gothic" w:hAnsi="Calibri" w:cs="Calibri"/>
          <w:b/>
          <w:bCs/>
          <w:color w:val="000000"/>
        </w:rPr>
        <w:t xml:space="preserve">Agency Point of Contact: </w:t>
      </w:r>
    </w:p>
    <w:p w14:paraId="7080A105" w14:textId="77777777" w:rsidR="009B30B1" w:rsidRPr="009B30B1" w:rsidRDefault="009B30B1" w:rsidP="009B30B1">
      <w:pPr>
        <w:numPr>
          <w:ilvl w:val="0"/>
          <w:numId w:val="2"/>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iCs/>
          <w:color w:val="000000"/>
        </w:rPr>
        <w:t xml:space="preserve">Agency Representative, including </w:t>
      </w:r>
      <w:r w:rsidRPr="009B30B1">
        <w:rPr>
          <w:rFonts w:ascii="Calibri" w:eastAsia="MS Gothic" w:hAnsi="Calibri" w:cs="Calibri"/>
          <w:color w:val="000000"/>
        </w:rPr>
        <w:t xml:space="preserve">Address, Phone Number, and E-mail Address </w:t>
      </w:r>
    </w:p>
    <w:p w14:paraId="11AE3E39" w14:textId="77777777" w:rsidR="009B30B1" w:rsidRPr="009B30B1" w:rsidRDefault="009B30B1" w:rsidP="009B30B1">
      <w:pPr>
        <w:numPr>
          <w:ilvl w:val="0"/>
          <w:numId w:val="2"/>
        </w:numPr>
        <w:autoSpaceDE w:val="0"/>
        <w:autoSpaceDN w:val="0"/>
        <w:adjustRightInd w:val="0"/>
        <w:spacing w:after="240" w:line="240" w:lineRule="auto"/>
        <w:ind w:left="720"/>
        <w:rPr>
          <w:rFonts w:ascii="Calibri" w:eastAsia="MS Gothic" w:hAnsi="Calibri" w:cs="Calibri"/>
          <w:color w:val="000000"/>
        </w:rPr>
      </w:pPr>
      <w:r w:rsidRPr="009B30B1">
        <w:rPr>
          <w:rFonts w:ascii="Calibri" w:eastAsia="MS Gothic" w:hAnsi="Calibri" w:cs="Calibri"/>
          <w:iCs/>
          <w:color w:val="000000"/>
        </w:rPr>
        <w:t xml:space="preserve">Second Agency Representative, including </w:t>
      </w:r>
      <w:r w:rsidRPr="009B30B1">
        <w:rPr>
          <w:rFonts w:ascii="Calibri" w:eastAsia="MS Gothic" w:hAnsi="Calibri" w:cs="Calibri"/>
          <w:color w:val="000000"/>
        </w:rPr>
        <w:t xml:space="preserve">Address, Phone Number, and E-mail Address </w:t>
      </w:r>
      <w:r w:rsidRPr="009B30B1">
        <w:rPr>
          <w:rFonts w:ascii="Calibri" w:eastAsia="MS Gothic" w:hAnsi="Calibri" w:cs="Calibri"/>
        </w:rPr>
        <w:t xml:space="preserve"> </w:t>
      </w:r>
    </w:p>
    <w:p w14:paraId="6495B87E" w14:textId="77777777" w:rsidR="009B30B1" w:rsidRPr="009B30B1" w:rsidRDefault="009B30B1" w:rsidP="009B30B1">
      <w:pPr>
        <w:autoSpaceDE w:val="0"/>
        <w:autoSpaceDN w:val="0"/>
        <w:adjustRightInd w:val="0"/>
        <w:spacing w:after="240" w:line="240" w:lineRule="auto"/>
        <w:ind w:left="720" w:hanging="720"/>
        <w:rPr>
          <w:rFonts w:ascii="Calibri" w:eastAsia="MS Gothic" w:hAnsi="Calibri" w:cs="Calibri"/>
          <w:color w:val="000000"/>
        </w:rPr>
      </w:pPr>
      <w:r w:rsidRPr="009B30B1">
        <w:rPr>
          <w:rFonts w:ascii="Calibri" w:eastAsia="MS Gothic" w:hAnsi="Calibri" w:cs="Calibri"/>
          <w:b/>
          <w:bCs/>
          <w:color w:val="000000"/>
        </w:rPr>
        <w:t xml:space="preserve">3.0 GENERAL REQUIREMENTS </w:t>
      </w:r>
    </w:p>
    <w:p w14:paraId="5ED3A4EB" w14:textId="77777777" w:rsidR="009B30B1" w:rsidRPr="009B30B1" w:rsidRDefault="009B30B1" w:rsidP="009B30B1">
      <w:pPr>
        <w:autoSpaceDE w:val="0"/>
        <w:autoSpaceDN w:val="0"/>
        <w:adjustRightInd w:val="0"/>
        <w:spacing w:after="0" w:line="240" w:lineRule="auto"/>
        <w:ind w:left="720" w:right="172" w:hanging="720"/>
        <w:rPr>
          <w:rFonts w:ascii="Calibri" w:eastAsia="MS Gothic" w:hAnsi="Calibri" w:cs="Calibri"/>
          <w:color w:val="000000"/>
        </w:rPr>
      </w:pPr>
      <w:r w:rsidRPr="009B30B1">
        <w:rPr>
          <w:rFonts w:ascii="Calibri" w:eastAsia="MS Gothic" w:hAnsi="Calibri" w:cs="Calibri"/>
          <w:b/>
          <w:bCs/>
          <w:color w:val="000000"/>
        </w:rPr>
        <w:t xml:space="preserve">3.1 DEFINITION OF TERMS </w:t>
      </w:r>
      <w:r w:rsidRPr="009B30B1">
        <w:rPr>
          <w:rFonts w:ascii="Calibri" w:eastAsia="MS Gothic" w:hAnsi="Calibri" w:cs="Calibri"/>
          <w:color w:val="000000"/>
        </w:rPr>
        <w:t xml:space="preserve">  </w:t>
      </w:r>
    </w:p>
    <w:p w14:paraId="786AC1D4" w14:textId="77777777" w:rsidR="009B30B1" w:rsidRPr="009B30B1" w:rsidRDefault="009B30B1" w:rsidP="009B30B1">
      <w:pPr>
        <w:autoSpaceDE w:val="0"/>
        <w:autoSpaceDN w:val="0"/>
        <w:adjustRightInd w:val="0"/>
        <w:spacing w:after="120" w:line="240" w:lineRule="auto"/>
        <w:rPr>
          <w:rFonts w:ascii="Calibri" w:eastAsia="MS Gothic" w:hAnsi="Calibri" w:cs="Calibri"/>
          <w:color w:val="000000"/>
        </w:rPr>
      </w:pPr>
      <w:r w:rsidRPr="009B30B1">
        <w:rPr>
          <w:rFonts w:ascii="Calibri" w:eastAsia="MS Gothic" w:hAnsi="Calibri" w:cs="Calibri"/>
          <w:color w:val="000000"/>
          <w:u w:val="single"/>
        </w:rPr>
        <w:t xml:space="preserve">Contractor </w:t>
      </w:r>
      <w:r w:rsidRPr="009B30B1">
        <w:rPr>
          <w:rFonts w:ascii="Calibri" w:eastAsia="MS Gothic" w:hAnsi="Calibri" w:cs="Calibri"/>
          <w:color w:val="000000"/>
        </w:rPr>
        <w:t xml:space="preserve">— The entity or entities authorized by </w:t>
      </w:r>
      <w:r w:rsidRPr="009B30B1">
        <w:rPr>
          <w:rFonts w:ascii="Calibri" w:eastAsia="MS Gothic" w:hAnsi="Calibri" w:cs="Calibri"/>
          <w:color w:val="000000"/>
          <w:u w:val="single"/>
        </w:rPr>
        <w:t xml:space="preserve">___________ </w:t>
      </w:r>
      <w:r w:rsidRPr="009B30B1">
        <w:rPr>
          <w:rFonts w:ascii="Calibri" w:eastAsia="MS Gothic" w:hAnsi="Calibri" w:cs="Calibri"/>
          <w:color w:val="000000"/>
        </w:rPr>
        <w:t>to perform Work under this Agreement, such entities shall include (Utility company name), and any subcontractors (</w:t>
      </w:r>
      <w:r w:rsidRPr="009B30B1">
        <w:rPr>
          <w:rFonts w:ascii="Calibri" w:eastAsia="MS Gothic" w:hAnsi="Calibri" w:cs="Calibri"/>
          <w:color w:val="000000"/>
          <w:u w:val="single"/>
        </w:rPr>
        <w:t>___</w:t>
      </w:r>
      <w:r w:rsidRPr="009B30B1">
        <w:rPr>
          <w:rFonts w:ascii="Calibri" w:eastAsia="MS Gothic" w:hAnsi="Calibri" w:cs="Calibri"/>
          <w:color w:val="000000"/>
        </w:rPr>
        <w:t xml:space="preserve">) retained to perform the Work described in this Agreement. </w:t>
      </w:r>
    </w:p>
    <w:p w14:paraId="329AE8E3" w14:textId="77777777" w:rsidR="009B30B1" w:rsidRPr="009B30B1" w:rsidRDefault="009B30B1" w:rsidP="009B30B1">
      <w:pPr>
        <w:autoSpaceDE w:val="0"/>
        <w:autoSpaceDN w:val="0"/>
        <w:adjustRightInd w:val="0"/>
        <w:spacing w:after="120" w:line="240" w:lineRule="auto"/>
        <w:rPr>
          <w:rFonts w:ascii="Calibri" w:eastAsia="MS Gothic" w:hAnsi="Calibri" w:cs="Calibri"/>
          <w:color w:val="000000"/>
        </w:rPr>
      </w:pPr>
      <w:r w:rsidRPr="009B30B1">
        <w:rPr>
          <w:rFonts w:ascii="Calibri" w:eastAsia="MS Gothic" w:hAnsi="Calibri" w:cs="Calibri"/>
          <w:color w:val="000000"/>
          <w:u w:val="single"/>
        </w:rPr>
        <w:t>Cost effective, also LCC Effective and Financed LCC Effective</w:t>
      </w:r>
      <w:r w:rsidRPr="009B30B1">
        <w:rPr>
          <w:rFonts w:ascii="Calibri" w:eastAsia="MS Gothic" w:hAnsi="Calibri" w:cs="Calibri"/>
          <w:color w:val="000000"/>
        </w:rPr>
        <w:t xml:space="preserve"> — Providing a savings to investment ration (SIR) greater than </w:t>
      </w:r>
      <w:r w:rsidRPr="009B30B1">
        <w:rPr>
          <w:rFonts w:ascii="Calibri" w:eastAsia="MS Gothic" w:hAnsi="Calibri" w:cs="Calibri"/>
          <w:i/>
          <w:color w:val="000000"/>
          <w:u w:val="single"/>
        </w:rPr>
        <w:t>for example 1 or 1.25 insert agency determination</w:t>
      </w:r>
      <w:r w:rsidRPr="009B30B1">
        <w:rPr>
          <w:rFonts w:ascii="Calibri" w:eastAsia="MS Gothic" w:hAnsi="Calibri" w:cs="Calibri"/>
          <w:color w:val="000000"/>
        </w:rPr>
        <w:t>, as calculated using the methods and procedures developed pursuant to 10 CFR 436, Federal Energy Management and Planning Programs, Subpart A, Methodology and Procedures for LCC Analyses.</w:t>
      </w:r>
    </w:p>
    <w:p w14:paraId="7BE52481" w14:textId="77777777" w:rsidR="009B30B1" w:rsidRPr="009B30B1" w:rsidRDefault="009B30B1" w:rsidP="009B30B1">
      <w:pPr>
        <w:autoSpaceDE w:val="0"/>
        <w:autoSpaceDN w:val="0"/>
        <w:adjustRightInd w:val="0"/>
        <w:spacing w:after="120" w:line="240" w:lineRule="auto"/>
        <w:ind w:right="730"/>
        <w:rPr>
          <w:rFonts w:ascii="Calibri" w:eastAsia="MS Gothic" w:hAnsi="Calibri" w:cs="Calibri"/>
          <w:color w:val="000000"/>
        </w:rPr>
      </w:pPr>
      <w:r w:rsidRPr="009B30B1">
        <w:rPr>
          <w:rFonts w:ascii="Calibri" w:eastAsia="MS Gothic" w:hAnsi="Calibri" w:cs="Calibri"/>
          <w:color w:val="000000"/>
          <w:u w:val="single"/>
        </w:rPr>
        <w:t>PA</w:t>
      </w:r>
      <w:r w:rsidRPr="009B30B1">
        <w:rPr>
          <w:rFonts w:ascii="Calibri" w:eastAsia="MS Gothic" w:hAnsi="Calibri" w:cs="Calibri"/>
          <w:color w:val="000000"/>
        </w:rPr>
        <w:t xml:space="preserve"> — A survey of a building or facility and surrounding areas that provides sufficiently detailed information to identify all potential energy and water conservation measures with a life-cycle cost-effective payback period. </w:t>
      </w:r>
    </w:p>
    <w:p w14:paraId="20B6531D" w14:textId="77777777" w:rsidR="009B30B1" w:rsidRPr="009B30B1" w:rsidRDefault="009B30B1" w:rsidP="009B30B1">
      <w:pPr>
        <w:autoSpaceDE w:val="0"/>
        <w:autoSpaceDN w:val="0"/>
        <w:adjustRightInd w:val="0"/>
        <w:spacing w:after="120" w:line="240" w:lineRule="auto"/>
        <w:ind w:right="235"/>
        <w:rPr>
          <w:rFonts w:ascii="Calibri" w:eastAsia="MS Gothic" w:hAnsi="Calibri" w:cs="Calibri"/>
          <w:color w:val="000000"/>
        </w:rPr>
      </w:pPr>
      <w:r w:rsidRPr="009B30B1">
        <w:rPr>
          <w:rFonts w:ascii="Calibri" w:eastAsia="MS Gothic" w:hAnsi="Calibri" w:cs="Calibri"/>
          <w:color w:val="000000"/>
          <w:u w:val="single"/>
        </w:rPr>
        <w:t xml:space="preserve">ECM </w:t>
      </w:r>
      <w:r w:rsidRPr="009B30B1">
        <w:rPr>
          <w:rFonts w:ascii="Calibri" w:eastAsia="MS Gothic" w:hAnsi="Calibri" w:cs="Calibri"/>
          <w:color w:val="000000"/>
        </w:rPr>
        <w:t xml:space="preserve">— A potential energy or water conservation measure that is identified during the survey. </w:t>
      </w:r>
    </w:p>
    <w:p w14:paraId="0D9F48E5" w14:textId="77777777" w:rsidR="009B30B1" w:rsidRPr="009B30B1" w:rsidRDefault="009B30B1" w:rsidP="009B30B1">
      <w:pPr>
        <w:autoSpaceDE w:val="0"/>
        <w:autoSpaceDN w:val="0"/>
        <w:adjustRightInd w:val="0"/>
        <w:spacing w:after="120" w:line="240" w:lineRule="auto"/>
        <w:rPr>
          <w:rFonts w:ascii="Calibri" w:eastAsia="MS Gothic" w:hAnsi="Calibri" w:cs="Calibri"/>
          <w:color w:val="000000"/>
        </w:rPr>
      </w:pPr>
      <w:r w:rsidRPr="009B30B1">
        <w:rPr>
          <w:rFonts w:ascii="Calibri" w:eastAsia="MS Gothic" w:hAnsi="Calibri" w:cs="Calibri"/>
          <w:color w:val="000000"/>
          <w:u w:val="single"/>
        </w:rPr>
        <w:lastRenderedPageBreak/>
        <w:t xml:space="preserve">Maintenance </w:t>
      </w:r>
      <w:r w:rsidRPr="009B30B1">
        <w:rPr>
          <w:rFonts w:ascii="Calibri" w:eastAsia="MS Gothic" w:hAnsi="Calibri" w:cs="Calibri"/>
          <w:color w:val="000000"/>
        </w:rPr>
        <w:t>— Maintenance refers to all efforts, by all sources, to maintain completed ECMs. The economic analysis of maintenance costs associated with an ECM must include a comparison of ongoing maintenance costs and the potential repair/replacement costs avoided with adequate maintenance. Data about maintenance will be provided by the Agency.</w:t>
      </w:r>
    </w:p>
    <w:p w14:paraId="32BC2600" w14:textId="77777777" w:rsidR="009B30B1" w:rsidRPr="009B30B1" w:rsidRDefault="009B30B1" w:rsidP="009B30B1">
      <w:pPr>
        <w:tabs>
          <w:tab w:val="left" w:pos="8820"/>
        </w:tabs>
        <w:autoSpaceDE w:val="0"/>
        <w:autoSpaceDN w:val="0"/>
        <w:adjustRightInd w:val="0"/>
        <w:spacing w:after="120" w:line="240" w:lineRule="auto"/>
        <w:rPr>
          <w:rFonts w:ascii="Calibri" w:eastAsia="MS Gothic" w:hAnsi="Calibri" w:cs="Calibri"/>
          <w:color w:val="000000"/>
        </w:rPr>
      </w:pPr>
      <w:r w:rsidRPr="009B30B1">
        <w:rPr>
          <w:rFonts w:ascii="Calibri" w:eastAsia="MS Gothic" w:hAnsi="Calibri" w:cs="Calibri"/>
          <w:color w:val="000000"/>
          <w:u w:val="single"/>
        </w:rPr>
        <w:t xml:space="preserve">Savings-to-Investment Ratio </w:t>
      </w:r>
      <w:r w:rsidRPr="009B30B1">
        <w:rPr>
          <w:rFonts w:ascii="Calibri" w:eastAsia="MS Gothic" w:hAnsi="Calibri" w:cs="Calibri"/>
          <w:color w:val="000000"/>
        </w:rPr>
        <w:t xml:space="preserve">(SIR) — The net present value of project savings stream divided by the project cost using discount factors from the </w:t>
      </w:r>
      <w:r w:rsidRPr="009B30B1">
        <w:rPr>
          <w:rFonts w:ascii="Calibri" w:eastAsia="MS Gothic" w:hAnsi="Calibri" w:cs="Calibri"/>
          <w:i/>
          <w:color w:val="000000"/>
        </w:rPr>
        <w:t xml:space="preserve">Energy Price Indices and Discount Factors for Life-Cycle Cost Analysis – April 2008. Annual Supplement to National Institute of Standards and Technology (NIST) Handbook 135 and NBS Special Publication 709, U.S. Department of Commerce. </w:t>
      </w:r>
      <w:hyperlink r:id="rId5" w:history="1">
        <w:r w:rsidRPr="009B30B1">
          <w:rPr>
            <w:rFonts w:ascii="Calibri" w:eastAsia="MS Gothic" w:hAnsi="Calibri" w:cs="Calibri"/>
            <w:color w:val="0000FF"/>
            <w:u w:val="single"/>
          </w:rPr>
          <w:t>http://fire.nist.gov/bfrlpubs/build08/PDF/b08019.pdf</w:t>
        </w:r>
      </w:hyperlink>
    </w:p>
    <w:p w14:paraId="770A994D" w14:textId="77777777" w:rsidR="009B30B1" w:rsidRPr="009B30B1" w:rsidRDefault="009B30B1" w:rsidP="009B30B1">
      <w:pPr>
        <w:autoSpaceDE w:val="0"/>
        <w:autoSpaceDN w:val="0"/>
        <w:adjustRightInd w:val="0"/>
        <w:spacing w:after="240" w:line="240" w:lineRule="auto"/>
        <w:rPr>
          <w:rFonts w:ascii="Calibri" w:eastAsia="MS Gothic" w:hAnsi="Calibri" w:cs="Calibri"/>
          <w:color w:val="000000"/>
        </w:rPr>
      </w:pPr>
      <w:r w:rsidRPr="009B30B1">
        <w:rPr>
          <w:rFonts w:ascii="Calibri" w:eastAsia="MS Gothic" w:hAnsi="Calibri" w:cs="Calibri"/>
          <w:color w:val="000000"/>
          <w:u w:val="single"/>
        </w:rPr>
        <w:t>Simple Payback Period</w:t>
      </w:r>
      <w:r w:rsidRPr="009B30B1">
        <w:rPr>
          <w:rFonts w:ascii="Calibri" w:eastAsia="MS Gothic" w:hAnsi="Calibri" w:cs="Calibri"/>
          <w:color w:val="000000"/>
        </w:rPr>
        <w:t xml:space="preserve"> — The ratio of the estimated project cost divided by the estimated savings per year from implementing the ECM. </w:t>
      </w:r>
    </w:p>
    <w:p w14:paraId="6CA80DDD" w14:textId="77777777" w:rsidR="009B30B1" w:rsidRPr="009B30B1" w:rsidRDefault="009B30B1" w:rsidP="009B30B1">
      <w:pPr>
        <w:autoSpaceDE w:val="0"/>
        <w:autoSpaceDN w:val="0"/>
        <w:adjustRightInd w:val="0"/>
        <w:spacing w:after="0" w:line="240" w:lineRule="auto"/>
        <w:ind w:left="720" w:right="212" w:hanging="720"/>
        <w:rPr>
          <w:rFonts w:ascii="Calibri" w:eastAsia="MS Gothic" w:hAnsi="Calibri" w:cs="Calibri"/>
          <w:color w:val="000000"/>
        </w:rPr>
      </w:pPr>
      <w:proofErr w:type="gramStart"/>
      <w:r w:rsidRPr="009B30B1">
        <w:rPr>
          <w:rFonts w:ascii="Calibri" w:eastAsia="MS Gothic" w:hAnsi="Calibri" w:cs="Calibri"/>
          <w:b/>
          <w:bCs/>
          <w:color w:val="000000"/>
        </w:rPr>
        <w:t>3.2  Assessment</w:t>
      </w:r>
      <w:proofErr w:type="gramEnd"/>
      <w:r w:rsidRPr="009B30B1">
        <w:rPr>
          <w:rFonts w:ascii="Calibri" w:eastAsia="MS Gothic" w:hAnsi="Calibri" w:cs="Calibri"/>
          <w:b/>
          <w:bCs/>
          <w:color w:val="000000"/>
        </w:rPr>
        <w:t xml:space="preserve"> Team </w:t>
      </w:r>
      <w:r w:rsidRPr="009B30B1">
        <w:rPr>
          <w:rFonts w:ascii="Calibri" w:eastAsia="MS Gothic" w:hAnsi="Calibri" w:cs="Calibri"/>
          <w:color w:val="000000"/>
        </w:rPr>
        <w:t xml:space="preserve">— shall have the following minimum experience and qualifications: </w:t>
      </w:r>
    </w:p>
    <w:p w14:paraId="0628D0E6" w14:textId="77777777" w:rsidR="009B30B1" w:rsidRPr="009B30B1" w:rsidRDefault="009B30B1" w:rsidP="009B30B1">
      <w:p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u w:val="single"/>
        </w:rPr>
        <w:t>Principal</w:t>
      </w:r>
      <w:r w:rsidRPr="009B30B1">
        <w:rPr>
          <w:rFonts w:ascii="Calibri" w:eastAsia="MS Gothic" w:hAnsi="Calibri" w:cs="Calibri"/>
          <w:color w:val="000000"/>
        </w:rPr>
        <w:t xml:space="preserve">: </w:t>
      </w:r>
    </w:p>
    <w:p w14:paraId="66E2B389" w14:textId="77777777" w:rsidR="009B30B1" w:rsidRPr="009B30B1" w:rsidRDefault="009B30B1" w:rsidP="009B30B1">
      <w:pPr>
        <w:numPr>
          <w:ilvl w:val="0"/>
          <w:numId w:val="3"/>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Minimum of four (4) years of experience in accomplishing surveys</w:t>
      </w:r>
    </w:p>
    <w:p w14:paraId="220E8083" w14:textId="77777777" w:rsidR="009B30B1" w:rsidRPr="009B30B1" w:rsidRDefault="009B30B1" w:rsidP="009B30B1">
      <w:pPr>
        <w:numPr>
          <w:ilvl w:val="0"/>
          <w:numId w:val="3"/>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Minimum of </w:t>
      </w:r>
      <w:proofErr w:type="gramStart"/>
      <w:r w:rsidRPr="009B30B1">
        <w:rPr>
          <w:rFonts w:ascii="Calibri" w:eastAsia="MS Gothic" w:hAnsi="Calibri" w:cs="Calibri"/>
          <w:color w:val="000000"/>
        </w:rPr>
        <w:t>Bachelor’s</w:t>
      </w:r>
      <w:proofErr w:type="gramEnd"/>
      <w:r w:rsidRPr="009B30B1">
        <w:rPr>
          <w:rFonts w:ascii="Calibri" w:eastAsia="MS Gothic" w:hAnsi="Calibri" w:cs="Calibri"/>
          <w:color w:val="000000"/>
        </w:rPr>
        <w:t xml:space="preserve"> degree in Engineering from a college or university accredited by the Engineers Council for Professional Development </w:t>
      </w:r>
    </w:p>
    <w:p w14:paraId="2164F117" w14:textId="77777777" w:rsidR="009B30B1" w:rsidRPr="009B30B1" w:rsidRDefault="009B30B1" w:rsidP="009B30B1">
      <w:pPr>
        <w:numPr>
          <w:ilvl w:val="0"/>
          <w:numId w:val="3"/>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Professional Registration as an Engineer in the State of </w:t>
      </w:r>
      <w:r w:rsidRPr="009B30B1">
        <w:rPr>
          <w:rFonts w:ascii="Calibri" w:eastAsia="MS Gothic" w:hAnsi="Calibri" w:cs="Calibri"/>
          <w:color w:val="000000"/>
          <w:u w:val="single"/>
        </w:rPr>
        <w:t>__________</w:t>
      </w:r>
      <w:r w:rsidRPr="009B30B1">
        <w:rPr>
          <w:rFonts w:ascii="Calibri" w:eastAsia="MS Gothic" w:hAnsi="Calibri" w:cs="Calibri"/>
          <w:color w:val="000000"/>
        </w:rPr>
        <w:t xml:space="preserve"> </w:t>
      </w:r>
    </w:p>
    <w:p w14:paraId="3881CE7B" w14:textId="77777777" w:rsidR="009B30B1" w:rsidRPr="009B30B1" w:rsidRDefault="009B30B1" w:rsidP="009B30B1">
      <w:p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u w:val="single"/>
        </w:rPr>
        <w:t>Assessment Supervisor</w:t>
      </w:r>
      <w:proofErr w:type="gramStart"/>
      <w:r w:rsidRPr="009B30B1">
        <w:rPr>
          <w:rFonts w:ascii="Calibri" w:eastAsia="MS Gothic" w:hAnsi="Calibri" w:cs="Calibri"/>
          <w:color w:val="000000"/>
        </w:rPr>
        <w:t>:  (</w:t>
      </w:r>
      <w:proofErr w:type="gramEnd"/>
      <w:r w:rsidRPr="009B30B1">
        <w:rPr>
          <w:rFonts w:ascii="Calibri" w:eastAsia="MS Gothic" w:hAnsi="Calibri" w:cs="Calibri"/>
          <w:color w:val="000000"/>
        </w:rPr>
        <w:t xml:space="preserve">Per 10 CFR Ch. II, Section 450.22) </w:t>
      </w:r>
    </w:p>
    <w:p w14:paraId="66DB1754" w14:textId="77777777" w:rsidR="009B30B1" w:rsidRPr="009B30B1" w:rsidRDefault="009B30B1" w:rsidP="009B30B1">
      <w:pPr>
        <w:numPr>
          <w:ilvl w:val="0"/>
          <w:numId w:val="4"/>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Minimum of four (4) years of experience in accomplishing surveys </w:t>
      </w:r>
    </w:p>
    <w:p w14:paraId="7E1AD8C3" w14:textId="77777777" w:rsidR="009B30B1" w:rsidRPr="009B30B1" w:rsidRDefault="009B30B1" w:rsidP="009B30B1">
      <w:pPr>
        <w:numPr>
          <w:ilvl w:val="0"/>
          <w:numId w:val="4"/>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Minimum of </w:t>
      </w:r>
      <w:proofErr w:type="gramStart"/>
      <w:r w:rsidRPr="009B30B1">
        <w:rPr>
          <w:rFonts w:ascii="Calibri" w:eastAsia="MS Gothic" w:hAnsi="Calibri" w:cs="Calibri"/>
          <w:color w:val="000000"/>
        </w:rPr>
        <w:t>Bachelor’s</w:t>
      </w:r>
      <w:proofErr w:type="gramEnd"/>
      <w:r w:rsidRPr="009B30B1">
        <w:rPr>
          <w:rFonts w:ascii="Calibri" w:eastAsia="MS Gothic" w:hAnsi="Calibri" w:cs="Calibri"/>
          <w:color w:val="000000"/>
        </w:rPr>
        <w:t xml:space="preserve"> degree in Engineering from a college or university accredited by the Engineers Council for Professional Development </w:t>
      </w:r>
    </w:p>
    <w:p w14:paraId="66FABC94" w14:textId="77777777" w:rsidR="009B30B1" w:rsidRPr="009B30B1" w:rsidRDefault="009B30B1" w:rsidP="009B30B1">
      <w:pPr>
        <w:autoSpaceDE w:val="0"/>
        <w:autoSpaceDN w:val="0"/>
        <w:adjustRightInd w:val="0"/>
        <w:spacing w:after="0" w:line="240" w:lineRule="auto"/>
        <w:ind w:left="720"/>
        <w:rPr>
          <w:rFonts w:ascii="Calibri" w:eastAsia="MS Gothic" w:hAnsi="Calibri" w:cs="Calibri"/>
          <w:color w:val="000000"/>
          <w:u w:val="single"/>
        </w:rPr>
      </w:pPr>
      <w:r w:rsidRPr="009B30B1">
        <w:rPr>
          <w:rFonts w:ascii="Calibri" w:eastAsia="MS Gothic" w:hAnsi="Calibri" w:cs="Calibri"/>
          <w:color w:val="000000"/>
          <w:u w:val="single"/>
        </w:rPr>
        <w:t>Assessment Team Members</w:t>
      </w:r>
      <w:r w:rsidRPr="009B30B1">
        <w:rPr>
          <w:rFonts w:ascii="Calibri" w:eastAsia="MS Gothic" w:hAnsi="Calibri" w:cs="Calibri"/>
          <w:color w:val="000000"/>
        </w:rPr>
        <w:t>:</w:t>
      </w:r>
      <w:r w:rsidRPr="009B30B1">
        <w:rPr>
          <w:rFonts w:ascii="Calibri" w:eastAsia="MS Gothic" w:hAnsi="Calibri" w:cs="Calibri"/>
          <w:color w:val="000000"/>
          <w:u w:val="single"/>
        </w:rPr>
        <w:t xml:space="preserve"> </w:t>
      </w:r>
    </w:p>
    <w:p w14:paraId="3C2170D4" w14:textId="77777777" w:rsidR="009B30B1" w:rsidRPr="009B30B1" w:rsidRDefault="009B30B1" w:rsidP="009B30B1">
      <w:pPr>
        <w:numPr>
          <w:ilvl w:val="0"/>
          <w:numId w:val="5"/>
        </w:numPr>
        <w:autoSpaceDE w:val="0"/>
        <w:autoSpaceDN w:val="0"/>
        <w:adjustRightInd w:val="0"/>
        <w:spacing w:after="240" w:line="240" w:lineRule="auto"/>
        <w:rPr>
          <w:rFonts w:ascii="Calibri" w:eastAsia="MS Gothic" w:hAnsi="Calibri" w:cs="Calibri"/>
          <w:color w:val="000000"/>
        </w:rPr>
      </w:pPr>
      <w:r w:rsidRPr="009B30B1">
        <w:rPr>
          <w:rFonts w:ascii="Calibri" w:eastAsia="MS Gothic" w:hAnsi="Calibri" w:cs="Calibri"/>
          <w:color w:val="000000"/>
        </w:rPr>
        <w:t xml:space="preserve">Minimum of two (2) years of experience in accomplishing surveys </w:t>
      </w:r>
    </w:p>
    <w:p w14:paraId="69F2408B" w14:textId="77777777" w:rsidR="009B30B1" w:rsidRPr="009B30B1" w:rsidRDefault="009B30B1" w:rsidP="009B30B1">
      <w:pPr>
        <w:autoSpaceDE w:val="0"/>
        <w:autoSpaceDN w:val="0"/>
        <w:adjustRightInd w:val="0"/>
        <w:spacing w:after="0" w:line="240" w:lineRule="auto"/>
        <w:ind w:left="720" w:right="162" w:hanging="720"/>
        <w:rPr>
          <w:rFonts w:ascii="Calibri" w:eastAsia="MS Gothic" w:hAnsi="Calibri" w:cs="Calibri"/>
          <w:b/>
          <w:bCs/>
          <w:color w:val="000000"/>
        </w:rPr>
      </w:pPr>
      <w:r w:rsidRPr="009B30B1">
        <w:rPr>
          <w:rFonts w:ascii="Calibri" w:eastAsia="MS Gothic" w:hAnsi="Calibri" w:cs="Calibri"/>
          <w:b/>
          <w:bCs/>
          <w:color w:val="000000"/>
        </w:rPr>
        <w:t>4.0 APPLICABLE SPECIFICATIONS, REGULATIONS, ETC.</w:t>
      </w:r>
    </w:p>
    <w:p w14:paraId="0DA2F1EF" w14:textId="77777777" w:rsidR="009B30B1" w:rsidRPr="009B30B1" w:rsidRDefault="009B30B1" w:rsidP="009B30B1">
      <w:pPr>
        <w:autoSpaceDE w:val="0"/>
        <w:autoSpaceDN w:val="0"/>
        <w:adjustRightInd w:val="0"/>
        <w:spacing w:after="0" w:line="240" w:lineRule="auto"/>
        <w:ind w:right="162"/>
        <w:rPr>
          <w:rFonts w:ascii="Calibri" w:eastAsia="MS Gothic" w:hAnsi="Calibri" w:cs="Calibri"/>
          <w:color w:val="000000"/>
        </w:rPr>
      </w:pPr>
      <w:r w:rsidRPr="009B30B1">
        <w:rPr>
          <w:rFonts w:ascii="Calibri" w:eastAsia="MS Gothic" w:hAnsi="Calibri" w:cs="Calibri"/>
          <w:color w:val="000000"/>
        </w:rPr>
        <w:t>ECMs shall meet or exceed all applicable codes and regulations, including, and not limited to:</w:t>
      </w:r>
    </w:p>
    <w:p w14:paraId="3F2824B5"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rPr>
        <w:t xml:space="preserve">National Electrical Code (NEC) </w:t>
      </w:r>
    </w:p>
    <w:p w14:paraId="02150727"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rPr>
        <w:t xml:space="preserve">Uniform Building Code (UBC) </w:t>
      </w:r>
    </w:p>
    <w:p w14:paraId="7BC01D02"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rPr>
        <w:t xml:space="preserve">Uniform Mechanical Code (UMC) </w:t>
      </w:r>
    </w:p>
    <w:p w14:paraId="1425DEA0"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rPr>
        <w:t xml:space="preserve">Uniform Plumbing Code (UPC) </w:t>
      </w:r>
    </w:p>
    <w:p w14:paraId="0BDA6523"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rPr>
        <w:t xml:space="preserve">National Fire Protection Association (NFPA) Standards </w:t>
      </w:r>
    </w:p>
    <w:p w14:paraId="5466AE5B"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u w:val="single"/>
        </w:rPr>
      </w:pPr>
      <w:r w:rsidRPr="009B30B1">
        <w:rPr>
          <w:rFonts w:ascii="Calibri" w:eastAsia="MS Gothic" w:hAnsi="Calibri" w:cs="Calibri"/>
          <w:color w:val="000000"/>
          <w:u w:val="single"/>
        </w:rPr>
        <w:t xml:space="preserve">___________________________ </w:t>
      </w:r>
    </w:p>
    <w:p w14:paraId="023BAD35"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rPr>
        <w:t xml:space="preserve">Clean Air Act and Amendments, Title VI </w:t>
      </w:r>
    </w:p>
    <w:p w14:paraId="46707D0E" w14:textId="77777777" w:rsidR="009B30B1" w:rsidRPr="009B30B1" w:rsidRDefault="009B30B1" w:rsidP="009B30B1">
      <w:pPr>
        <w:numPr>
          <w:ilvl w:val="0"/>
          <w:numId w:val="5"/>
        </w:numPr>
        <w:autoSpaceDE w:val="0"/>
        <w:autoSpaceDN w:val="0"/>
        <w:adjustRightInd w:val="0"/>
        <w:spacing w:after="0" w:line="240" w:lineRule="auto"/>
        <w:ind w:left="720"/>
        <w:rPr>
          <w:rFonts w:ascii="Calibri" w:eastAsia="MS Gothic" w:hAnsi="Calibri" w:cs="Calibri"/>
          <w:color w:val="000000"/>
        </w:rPr>
      </w:pPr>
      <w:r w:rsidRPr="009B30B1">
        <w:rPr>
          <w:rFonts w:ascii="Calibri" w:eastAsia="MS Gothic" w:hAnsi="Calibri" w:cs="Calibri"/>
          <w:color w:val="000000"/>
        </w:rPr>
        <w:t xml:space="preserve">(State) Code of Regulations </w:t>
      </w:r>
    </w:p>
    <w:p w14:paraId="647A61C5" w14:textId="77777777" w:rsidR="009B30B1" w:rsidRPr="009B30B1" w:rsidRDefault="009B30B1" w:rsidP="009B30B1">
      <w:pPr>
        <w:autoSpaceDE w:val="0"/>
        <w:autoSpaceDN w:val="0"/>
        <w:adjustRightInd w:val="0"/>
        <w:spacing w:after="0" w:line="240" w:lineRule="auto"/>
        <w:rPr>
          <w:rFonts w:ascii="Calibri" w:eastAsia="MS Gothic" w:hAnsi="Calibri" w:cs="Calibri"/>
          <w:color w:val="000000"/>
        </w:rPr>
      </w:pPr>
    </w:p>
    <w:p w14:paraId="4605B1AF" w14:textId="77777777" w:rsidR="009B30B1" w:rsidRPr="009B30B1" w:rsidRDefault="009B30B1" w:rsidP="009B30B1">
      <w:pPr>
        <w:autoSpaceDE w:val="0"/>
        <w:autoSpaceDN w:val="0"/>
        <w:adjustRightInd w:val="0"/>
        <w:spacing w:after="240" w:line="240" w:lineRule="auto"/>
        <w:rPr>
          <w:rFonts w:ascii="Calibri" w:eastAsia="MS Gothic" w:hAnsi="Calibri" w:cs="Calibri"/>
          <w:color w:val="000000"/>
        </w:rPr>
      </w:pPr>
      <w:r w:rsidRPr="009B30B1">
        <w:rPr>
          <w:rFonts w:ascii="Calibri" w:eastAsia="MS Gothic" w:hAnsi="Calibri" w:cs="Calibri"/>
          <w:b/>
          <w:bCs/>
          <w:color w:val="000000"/>
        </w:rPr>
        <w:t xml:space="preserve">5.0 POTENTIAL ENERGY AND WATER CONSERVATION MEASURES </w:t>
      </w:r>
      <w:r w:rsidRPr="009B30B1">
        <w:rPr>
          <w:rFonts w:ascii="Calibri" w:eastAsia="MS Gothic" w:hAnsi="Calibri" w:cs="Calibri"/>
          <w:color w:val="000000"/>
        </w:rPr>
        <w:t xml:space="preserve">— Potential water conservation measures and ECMs including commissioning and renewable energy system opportunities shall be evaluated for each building, structure, or area surveyed at the </w:t>
      </w:r>
      <w:r w:rsidRPr="009B30B1">
        <w:rPr>
          <w:rFonts w:ascii="Calibri" w:eastAsia="MS Gothic" w:hAnsi="Calibri" w:cs="Calibri"/>
          <w:i/>
          <w:color w:val="000000"/>
          <w:u w:val="single"/>
        </w:rPr>
        <w:t>Site/Location</w:t>
      </w:r>
      <w:r w:rsidRPr="009B30B1">
        <w:rPr>
          <w:rFonts w:ascii="Calibri" w:eastAsia="MS Gothic" w:hAnsi="Calibri" w:cs="Calibri"/>
          <w:color w:val="000000"/>
        </w:rPr>
        <w:t xml:space="preserve"> </w:t>
      </w:r>
      <w:proofErr w:type="gramStart"/>
      <w:r w:rsidRPr="009B30B1">
        <w:rPr>
          <w:rFonts w:ascii="Calibri" w:eastAsia="MS Gothic" w:hAnsi="Calibri" w:cs="Calibri"/>
          <w:color w:val="000000"/>
        </w:rPr>
        <w:t>in order to</w:t>
      </w:r>
      <w:proofErr w:type="gramEnd"/>
      <w:r w:rsidRPr="009B30B1">
        <w:rPr>
          <w:rFonts w:ascii="Calibri" w:eastAsia="MS Gothic" w:hAnsi="Calibri" w:cs="Calibri"/>
          <w:color w:val="000000"/>
        </w:rPr>
        <w:t xml:space="preserve"> develop potential ECMs. </w:t>
      </w:r>
    </w:p>
    <w:p w14:paraId="637E6EB9" w14:textId="77777777" w:rsidR="009B30B1" w:rsidRPr="009B30B1" w:rsidRDefault="009B30B1" w:rsidP="009B30B1">
      <w:pPr>
        <w:autoSpaceDE w:val="0"/>
        <w:autoSpaceDN w:val="0"/>
        <w:adjustRightInd w:val="0"/>
        <w:spacing w:after="240" w:line="240" w:lineRule="auto"/>
        <w:rPr>
          <w:rFonts w:ascii="Calibri" w:eastAsia="MS Gothic" w:hAnsi="Calibri" w:cs="Calibri"/>
          <w:color w:val="000000"/>
        </w:rPr>
      </w:pPr>
      <w:r w:rsidRPr="009B30B1">
        <w:rPr>
          <w:rFonts w:ascii="Calibri" w:eastAsia="MS Gothic" w:hAnsi="Calibri" w:cs="Calibri"/>
          <w:b/>
          <w:bCs/>
          <w:color w:val="000000"/>
        </w:rPr>
        <w:t xml:space="preserve">5.1 POTENTIAL ECMs </w:t>
      </w:r>
      <w:r w:rsidRPr="009B30B1">
        <w:rPr>
          <w:rFonts w:ascii="Calibri" w:eastAsia="MS Gothic" w:hAnsi="Calibri" w:cs="Calibri"/>
          <w:color w:val="000000"/>
        </w:rPr>
        <w:t xml:space="preserve">— A list of agency-identified and generally acceptable ECMs are described below </w:t>
      </w:r>
      <w:r w:rsidRPr="009B30B1">
        <w:rPr>
          <w:rFonts w:ascii="Calibri" w:eastAsia="MS Gothic" w:hAnsi="Calibri" w:cs="Calibri"/>
          <w:i/>
          <w:color w:val="000000"/>
          <w:u w:val="single"/>
        </w:rPr>
        <w:t>(e.g., in Table 1 – Agency Identified ECMs and Table 2 – General List of ECMs, and in Section 5.2)</w:t>
      </w:r>
      <w:r w:rsidRPr="009B30B1">
        <w:rPr>
          <w:rFonts w:ascii="Calibri" w:eastAsia="MS Gothic" w:hAnsi="Calibri" w:cs="Calibri"/>
          <w:color w:val="000000"/>
        </w:rPr>
        <w:t xml:space="preserve">. It is anticipated that the Utility will assess the </w:t>
      </w:r>
      <w:proofErr w:type="gramStart"/>
      <w:r w:rsidRPr="009B30B1">
        <w:rPr>
          <w:rFonts w:ascii="Calibri" w:eastAsia="MS Gothic" w:hAnsi="Calibri" w:cs="Calibri"/>
          <w:color w:val="000000"/>
        </w:rPr>
        <w:t>agency-identified</w:t>
      </w:r>
      <w:proofErr w:type="gramEnd"/>
      <w:r w:rsidRPr="009B30B1">
        <w:rPr>
          <w:rFonts w:ascii="Calibri" w:eastAsia="MS Gothic" w:hAnsi="Calibri" w:cs="Calibri"/>
          <w:color w:val="000000"/>
        </w:rPr>
        <w:t xml:space="preserve"> ECMs along with other ECMs identified during the assessment. The Utility will provide results of the assessment in a spreadsheet format such as </w:t>
      </w:r>
      <w:r w:rsidRPr="009B30B1">
        <w:rPr>
          <w:rFonts w:ascii="Calibri" w:eastAsia="MS Gothic" w:hAnsi="Calibri" w:cs="Calibri"/>
          <w:i/>
          <w:color w:val="000000"/>
          <w:u w:val="single"/>
        </w:rPr>
        <w:t>(Table 3 – insert sample table)</w:t>
      </w:r>
      <w:r w:rsidRPr="009B30B1">
        <w:rPr>
          <w:rFonts w:ascii="Calibri" w:eastAsia="MS Gothic" w:hAnsi="Calibri" w:cs="Calibri"/>
          <w:color w:val="000000"/>
        </w:rPr>
        <w:t xml:space="preserve"> showing technology applicability to all buildings and structures. </w:t>
      </w:r>
    </w:p>
    <w:p w14:paraId="046A9B7B" w14:textId="77777777" w:rsidR="009B30B1" w:rsidRPr="009B30B1" w:rsidRDefault="009B30B1" w:rsidP="009B30B1">
      <w:pPr>
        <w:autoSpaceDE w:val="0"/>
        <w:autoSpaceDN w:val="0"/>
        <w:adjustRightInd w:val="0"/>
        <w:spacing w:after="0" w:line="240" w:lineRule="auto"/>
        <w:rPr>
          <w:rFonts w:ascii="Calibri" w:eastAsia="MS Gothic" w:hAnsi="Calibri" w:cs="Calibri"/>
          <w:b/>
          <w:bCs/>
          <w:color w:val="000000"/>
        </w:rPr>
      </w:pPr>
      <w:r w:rsidRPr="009B30B1">
        <w:rPr>
          <w:rFonts w:ascii="Calibri" w:eastAsia="MS Gothic" w:hAnsi="Calibri" w:cs="Calibri"/>
          <w:b/>
          <w:bCs/>
          <w:color w:val="000000"/>
        </w:rPr>
        <w:lastRenderedPageBreak/>
        <w:t>5.2 RECOMMENDATIONS FOR CHANGES IN OPERATIONAL AND MAINTENANCE PROCEDURES</w:t>
      </w:r>
    </w:p>
    <w:p w14:paraId="08DB8339" w14:textId="77777777" w:rsidR="009B30B1" w:rsidRPr="009B30B1" w:rsidRDefault="009B30B1" w:rsidP="009B30B1">
      <w:p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It is understood that substantial energy and water savings can be obtained by changes in operational procedures. In each area or building where substantial energy or water is consumed, provide recommendations for improving efficiency through operational strategies that will not cause risk to mission or operational requirements including: </w:t>
      </w:r>
    </w:p>
    <w:p w14:paraId="6845C466" w14:textId="77777777" w:rsidR="009B30B1" w:rsidRPr="009B30B1" w:rsidRDefault="009B30B1" w:rsidP="009B30B1">
      <w:pPr>
        <w:numPr>
          <w:ilvl w:val="0"/>
          <w:numId w:val="7"/>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Changes to operational hours for specific equipment or systems, e.g., minimize electrical consumption and demand charges through night/off-peak run time for heavy process loads. </w:t>
      </w:r>
    </w:p>
    <w:p w14:paraId="578C5AB7" w14:textId="77777777" w:rsidR="009B30B1" w:rsidRPr="009B30B1" w:rsidRDefault="009B30B1" w:rsidP="009B30B1">
      <w:pPr>
        <w:numPr>
          <w:ilvl w:val="0"/>
          <w:numId w:val="7"/>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Changes in procedures and/or working hours having little or no impact on personnel. </w:t>
      </w:r>
    </w:p>
    <w:p w14:paraId="3E80FA45" w14:textId="77777777" w:rsidR="009B30B1" w:rsidRPr="009B30B1" w:rsidRDefault="009B30B1" w:rsidP="009B30B1">
      <w:pPr>
        <w:numPr>
          <w:ilvl w:val="0"/>
          <w:numId w:val="7"/>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Changes to existing maintenance procedures, e.g., group lamp replacement, replace failed motors with premium efficiency motors, etc. </w:t>
      </w:r>
    </w:p>
    <w:p w14:paraId="750DF018" w14:textId="77777777" w:rsidR="009B30B1" w:rsidRPr="009B30B1" w:rsidRDefault="009B30B1" w:rsidP="009B30B1">
      <w:pPr>
        <w:numPr>
          <w:ilvl w:val="0"/>
          <w:numId w:val="7"/>
        </w:numPr>
        <w:autoSpaceDE w:val="0"/>
        <w:autoSpaceDN w:val="0"/>
        <w:adjustRightInd w:val="0"/>
        <w:spacing w:after="0" w:line="240" w:lineRule="auto"/>
        <w:rPr>
          <w:rFonts w:ascii="Calibri" w:eastAsia="MS Gothic" w:hAnsi="Calibri" w:cs="Calibri"/>
          <w:color w:val="000000"/>
        </w:rPr>
      </w:pPr>
      <w:r w:rsidRPr="009B30B1">
        <w:rPr>
          <w:rFonts w:ascii="Calibri" w:eastAsia="MS Gothic" w:hAnsi="Calibri" w:cs="Calibri"/>
          <w:color w:val="000000"/>
        </w:rPr>
        <w:t xml:space="preserve">Modifications to existing facility use, e.g., maximizing occupancy, etc. </w:t>
      </w:r>
    </w:p>
    <w:p w14:paraId="32C0D06A" w14:textId="77777777" w:rsidR="009B30B1" w:rsidRPr="009B30B1" w:rsidRDefault="009B30B1" w:rsidP="009B30B1">
      <w:pPr>
        <w:autoSpaceDE w:val="0"/>
        <w:autoSpaceDN w:val="0"/>
        <w:adjustRightInd w:val="0"/>
        <w:spacing w:after="0" w:line="240" w:lineRule="auto"/>
        <w:rPr>
          <w:rFonts w:ascii="Calibri" w:eastAsia="MS Gothic" w:hAnsi="Calibri" w:cs="Calibri"/>
          <w:color w:val="000000"/>
        </w:rPr>
      </w:pPr>
    </w:p>
    <w:p w14:paraId="264C5C4F" w14:textId="77777777" w:rsidR="009B30B1" w:rsidRDefault="009B30B1"/>
    <w:sectPr w:rsidR="009B3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C1F5E"/>
    <w:multiLevelType w:val="hybridMultilevel"/>
    <w:tmpl w:val="27983B8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C07557"/>
    <w:multiLevelType w:val="hybridMultilevel"/>
    <w:tmpl w:val="AC42E1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DD32BAD"/>
    <w:multiLevelType w:val="hybridMultilevel"/>
    <w:tmpl w:val="8B9EB4E8"/>
    <w:lvl w:ilvl="0" w:tplc="04090001">
      <w:start w:val="1"/>
      <w:numFmt w:val="bullet"/>
      <w:lvlText w:val=""/>
      <w:lvlJc w:val="left"/>
      <w:pPr>
        <w:ind w:left="360" w:hanging="360"/>
      </w:pPr>
      <w:rPr>
        <w:rFonts w:ascii="Symbol" w:hAnsi="Symbol" w:hint="default"/>
      </w:rPr>
    </w:lvl>
    <w:lvl w:ilvl="1" w:tplc="AF0CCEF6">
      <w:numFmt w:val="bullet"/>
      <w:lvlText w:val="—"/>
      <w:lvlJc w:val="left"/>
      <w:pPr>
        <w:ind w:left="1080" w:hanging="360"/>
      </w:pPr>
      <w:rPr>
        <w:rFonts w:ascii="Times New Roman" w:eastAsia="MS Gothic"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6B08AF"/>
    <w:multiLevelType w:val="hybridMultilevel"/>
    <w:tmpl w:val="BA784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8325D1"/>
    <w:multiLevelType w:val="hybridMultilevel"/>
    <w:tmpl w:val="E58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743DA3"/>
    <w:multiLevelType w:val="hybridMultilevel"/>
    <w:tmpl w:val="CF1C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FF53A5"/>
    <w:multiLevelType w:val="hybridMultilevel"/>
    <w:tmpl w:val="69A8A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B1"/>
    <w:rsid w:val="009B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A9AE"/>
  <w15:chartTrackingRefBased/>
  <w15:docId w15:val="{5D643362-D42A-4DAB-90C8-C6E79BE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re.nist.gov/bfrlpubs/build08/PDF/b08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Gingrich, Jeffrey</cp:lastModifiedBy>
  <cp:revision>1</cp:revision>
  <dcterms:created xsi:type="dcterms:W3CDTF">2020-07-21T22:50:00Z</dcterms:created>
  <dcterms:modified xsi:type="dcterms:W3CDTF">2020-07-21T22:51:00Z</dcterms:modified>
</cp:coreProperties>
</file>