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3FC9" w14:textId="2419A594" w:rsidR="00BB118D" w:rsidRDefault="00DA19B3" w:rsidP="00BB118D">
      <w:pPr>
        <w:rPr>
          <w:b/>
          <w:sz w:val="24"/>
          <w:szCs w:val="24"/>
        </w:rPr>
      </w:pPr>
      <w:bookmarkStart w:id="0" w:name="_GoBack"/>
      <w:bookmarkEnd w:id="0"/>
      <w:r>
        <w:rPr>
          <w:rFonts w:eastAsia="Times New Roman" w:cs="Arial"/>
          <w:b/>
          <w:noProof/>
          <w:szCs w:val="24"/>
        </w:rPr>
        <mc:AlternateContent>
          <mc:Choice Requires="wps">
            <w:drawing>
              <wp:anchor distT="0" distB="0" distL="114300" distR="114300" simplePos="0" relativeHeight="251660288" behindDoc="0" locked="0" layoutInCell="1" allowOverlap="1" wp14:anchorId="188AC644" wp14:editId="42AF3934">
                <wp:simplePos x="0" y="0"/>
                <wp:positionH relativeFrom="column">
                  <wp:posOffset>2534920</wp:posOffset>
                </wp:positionH>
                <wp:positionV relativeFrom="paragraph">
                  <wp:posOffset>-416560</wp:posOffset>
                </wp:positionV>
                <wp:extent cx="2019300" cy="7493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019300" cy="74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3F936" w14:textId="0EFBBDAC" w:rsidR="00241965" w:rsidRPr="00DA19B3" w:rsidRDefault="00525A4C" w:rsidP="004764DB">
                            <w:pPr>
                              <w:pStyle w:val="Header"/>
                              <w:jc w:val="right"/>
                              <w:rPr>
                                <w:i/>
                                <w:sz w:val="18"/>
                              </w:rPr>
                            </w:pPr>
                            <w:r>
                              <w:rPr>
                                <w:i/>
                                <w:sz w:val="18"/>
                              </w:rPr>
                              <w:t>ECM Lessons Learned</w:t>
                            </w:r>
                          </w:p>
                          <w:p w14:paraId="40F474B3" w14:textId="4803D796" w:rsidR="00241965" w:rsidRPr="00DA19B3" w:rsidRDefault="00241965" w:rsidP="004764DB">
                            <w:pPr>
                              <w:pStyle w:val="Header"/>
                              <w:jc w:val="right"/>
                              <w:rPr>
                                <w:sz w:val="18"/>
                              </w:rPr>
                            </w:pPr>
                            <w:r w:rsidRPr="00DA19B3">
                              <w:rPr>
                                <w:sz w:val="18"/>
                              </w:rPr>
                              <w:t>ESPC Process Doc</w:t>
                            </w:r>
                            <w:r w:rsidR="00994009" w:rsidRPr="00DA19B3">
                              <w:rPr>
                                <w:sz w:val="18"/>
                              </w:rPr>
                              <w:t>.</w:t>
                            </w:r>
                            <w:r w:rsidRPr="00DA19B3">
                              <w:rPr>
                                <w:sz w:val="18"/>
                              </w:rPr>
                              <w:t xml:space="preserve"> P</w:t>
                            </w:r>
                            <w:r w:rsidR="00216EEF" w:rsidRPr="00DA19B3">
                              <w:rPr>
                                <w:sz w:val="18"/>
                              </w:rPr>
                              <w:t>3</w:t>
                            </w:r>
                            <w:r w:rsidR="00DA19B3" w:rsidRPr="00DA19B3">
                              <w:rPr>
                                <w:sz w:val="18"/>
                              </w:rPr>
                              <w:t>-0</w:t>
                            </w:r>
                            <w:r w:rsidR="002E5531">
                              <w:rPr>
                                <w:sz w:val="18"/>
                              </w:rPr>
                              <w:t>7</w:t>
                            </w:r>
                            <w:r w:rsidRPr="00DA19B3">
                              <w:rPr>
                                <w:sz w:val="18"/>
                              </w:rPr>
                              <w:t xml:space="preserve"> </w:t>
                            </w:r>
                          </w:p>
                          <w:p w14:paraId="47B45B6F" w14:textId="2FC22D02" w:rsidR="00241965" w:rsidRPr="00DA19B3" w:rsidRDefault="00B544EB" w:rsidP="004764DB">
                            <w:pPr>
                              <w:pStyle w:val="Header"/>
                              <w:jc w:val="right"/>
                              <w:rPr>
                                <w:sz w:val="18"/>
                              </w:rPr>
                            </w:pPr>
                            <w:r w:rsidRPr="00DA19B3">
                              <w:rPr>
                                <w:sz w:val="18"/>
                              </w:rPr>
                              <w:t xml:space="preserve">r. </w:t>
                            </w:r>
                            <w:r w:rsidR="00DA19B3" w:rsidRPr="00DA19B3">
                              <w:rPr>
                                <w:sz w:val="18"/>
                              </w:rPr>
                              <w:t>1</w:t>
                            </w:r>
                            <w:r w:rsidR="002E5531">
                              <w:rPr>
                                <w:sz w:val="18"/>
                              </w:rPr>
                              <w:t>1</w:t>
                            </w:r>
                            <w:r w:rsidR="00DA19B3" w:rsidRPr="00DA19B3">
                              <w:rPr>
                                <w:sz w:val="18"/>
                              </w:rPr>
                              <w:t>-</w:t>
                            </w:r>
                            <w:r w:rsidR="002E5531">
                              <w:rPr>
                                <w:sz w:val="18"/>
                              </w:rPr>
                              <w:t>11</w:t>
                            </w:r>
                            <w:r w:rsidR="00DA19B3" w:rsidRPr="00DA19B3">
                              <w:rPr>
                                <w:sz w:val="18"/>
                              </w:rPr>
                              <w:t>-1</w:t>
                            </w:r>
                            <w:r w:rsidR="002E5531">
                              <w:rPr>
                                <w:sz w:val="18"/>
                              </w:rPr>
                              <w:t>6</w:t>
                            </w:r>
                          </w:p>
                          <w:p w14:paraId="35D1EB62" w14:textId="08F1DB6F" w:rsidR="00241965" w:rsidRPr="00DA19B3" w:rsidRDefault="00241965" w:rsidP="004764DB">
                            <w:pPr>
                              <w:jc w:val="right"/>
                              <w:rPr>
                                <w:b/>
                                <w:sz w:val="18"/>
                              </w:rPr>
                            </w:pPr>
                            <w:r w:rsidRPr="00DA19B3">
                              <w:rPr>
                                <w:sz w:val="18"/>
                              </w:rPr>
                              <w:t>Responsibility:</w:t>
                            </w:r>
                            <w:r w:rsidRPr="00DA19B3">
                              <w:rPr>
                                <w:noProof/>
                                <w:sz w:val="20"/>
                              </w:rPr>
                              <w:t xml:space="preserve"> </w:t>
                            </w:r>
                            <w:r w:rsidRPr="00DA19B3">
                              <w:rPr>
                                <w:sz w:val="18"/>
                              </w:rPr>
                              <w:t xml:space="preserve"> </w:t>
                            </w:r>
                            <w:r w:rsidR="00DA19B3" w:rsidRPr="00DA19B3">
                              <w:rPr>
                                <w:sz w:val="18"/>
                              </w:rPr>
                              <w:t xml:space="preserve"> PF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AC644" id="_x0000_t202" coordsize="21600,21600" o:spt="202" path="m,l,21600r21600,l21600,xe">
                <v:stroke joinstyle="miter"/>
                <v:path gradientshapeok="t" o:connecttype="rect"/>
              </v:shapetype>
              <v:shape id="Text Box 56" o:spid="_x0000_s1026" type="#_x0000_t202" style="position:absolute;margin-left:199.6pt;margin-top:-32.8pt;width:159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" filled="f" stroked="f" strokeweight=".5pt">
                <v:textbox>
                  <w:txbxContent>
                    <w:p w14:paraId="0C43F936" w14:textId="0EFBBDAC" w:rsidR="00241965" w:rsidRPr="00DA19B3" w:rsidRDefault="00525A4C" w:rsidP="004764DB">
                      <w:pPr>
                        <w:pStyle w:val="Header"/>
                        <w:jc w:val="right"/>
                        <w:rPr>
                          <w:i/>
                          <w:sz w:val="18"/>
                        </w:rPr>
                      </w:pPr>
                      <w:r>
                        <w:rPr>
                          <w:i/>
                          <w:sz w:val="18"/>
                        </w:rPr>
                        <w:t>ECM Lessons Learned</w:t>
                      </w:r>
                    </w:p>
                    <w:p w14:paraId="40F474B3" w14:textId="4803D796" w:rsidR="00241965" w:rsidRPr="00DA19B3" w:rsidRDefault="00241965" w:rsidP="004764DB">
                      <w:pPr>
                        <w:pStyle w:val="Header"/>
                        <w:jc w:val="right"/>
                        <w:rPr>
                          <w:sz w:val="18"/>
                        </w:rPr>
                      </w:pPr>
                      <w:r w:rsidRPr="00DA19B3">
                        <w:rPr>
                          <w:sz w:val="18"/>
                        </w:rPr>
                        <w:t>ESPC Process Doc</w:t>
                      </w:r>
                      <w:r w:rsidR="00994009" w:rsidRPr="00DA19B3">
                        <w:rPr>
                          <w:sz w:val="18"/>
                        </w:rPr>
                        <w:t>.</w:t>
                      </w:r>
                      <w:r w:rsidRPr="00DA19B3">
                        <w:rPr>
                          <w:sz w:val="18"/>
                        </w:rPr>
                        <w:t xml:space="preserve"> P</w:t>
                      </w:r>
                      <w:r w:rsidR="00216EEF" w:rsidRPr="00DA19B3">
                        <w:rPr>
                          <w:sz w:val="18"/>
                        </w:rPr>
                        <w:t>3</w:t>
                      </w:r>
                      <w:r w:rsidR="00DA19B3" w:rsidRPr="00DA19B3">
                        <w:rPr>
                          <w:sz w:val="18"/>
                        </w:rPr>
                        <w:t>-0</w:t>
                      </w:r>
                      <w:r w:rsidR="002E5531">
                        <w:rPr>
                          <w:sz w:val="18"/>
                        </w:rPr>
                        <w:t>7</w:t>
                      </w:r>
                      <w:r w:rsidRPr="00DA19B3">
                        <w:rPr>
                          <w:sz w:val="18"/>
                        </w:rPr>
                        <w:t xml:space="preserve"> </w:t>
                      </w:r>
                    </w:p>
                    <w:p w14:paraId="47B45B6F" w14:textId="2FC22D02" w:rsidR="00241965" w:rsidRPr="00DA19B3" w:rsidRDefault="00B544EB" w:rsidP="004764DB">
                      <w:pPr>
                        <w:pStyle w:val="Header"/>
                        <w:jc w:val="right"/>
                        <w:rPr>
                          <w:sz w:val="18"/>
                        </w:rPr>
                      </w:pPr>
                      <w:r w:rsidRPr="00DA19B3">
                        <w:rPr>
                          <w:sz w:val="18"/>
                        </w:rPr>
                        <w:t xml:space="preserve">r. </w:t>
                      </w:r>
                      <w:r w:rsidR="00DA19B3" w:rsidRPr="00DA19B3">
                        <w:rPr>
                          <w:sz w:val="18"/>
                        </w:rPr>
                        <w:t>1</w:t>
                      </w:r>
                      <w:r w:rsidR="002E5531">
                        <w:rPr>
                          <w:sz w:val="18"/>
                        </w:rPr>
                        <w:t>1</w:t>
                      </w:r>
                      <w:r w:rsidR="00DA19B3" w:rsidRPr="00DA19B3">
                        <w:rPr>
                          <w:sz w:val="18"/>
                        </w:rPr>
                        <w:t>-</w:t>
                      </w:r>
                      <w:r w:rsidR="002E5531">
                        <w:rPr>
                          <w:sz w:val="18"/>
                        </w:rPr>
                        <w:t>11</w:t>
                      </w:r>
                      <w:r w:rsidR="00DA19B3" w:rsidRPr="00DA19B3">
                        <w:rPr>
                          <w:sz w:val="18"/>
                        </w:rPr>
                        <w:t>-1</w:t>
                      </w:r>
                      <w:r w:rsidR="002E5531">
                        <w:rPr>
                          <w:sz w:val="18"/>
                        </w:rPr>
                        <w:t>6</w:t>
                      </w:r>
                    </w:p>
                    <w:p w14:paraId="35D1EB62" w14:textId="08F1DB6F" w:rsidR="00241965" w:rsidRPr="00DA19B3" w:rsidRDefault="00241965" w:rsidP="004764DB">
                      <w:pPr>
                        <w:jc w:val="right"/>
                        <w:rPr>
                          <w:b/>
                          <w:sz w:val="18"/>
                        </w:rPr>
                      </w:pPr>
                      <w:r w:rsidRPr="00DA19B3">
                        <w:rPr>
                          <w:sz w:val="18"/>
                        </w:rPr>
                        <w:t>Responsibility:</w:t>
                      </w:r>
                      <w:r w:rsidRPr="00DA19B3">
                        <w:rPr>
                          <w:noProof/>
                          <w:sz w:val="20"/>
                        </w:rPr>
                        <w:t xml:space="preserve"> </w:t>
                      </w:r>
                      <w:r w:rsidRPr="00DA19B3">
                        <w:rPr>
                          <w:sz w:val="18"/>
                        </w:rPr>
                        <w:t xml:space="preserve"> </w:t>
                      </w:r>
                      <w:r w:rsidR="00DA19B3" w:rsidRPr="00DA19B3">
                        <w:rPr>
                          <w:sz w:val="18"/>
                        </w:rPr>
                        <w:t xml:space="preserve"> PF</w:t>
                      </w:r>
                    </w:p>
                  </w:txbxContent>
                </v:textbox>
              </v:shape>
            </w:pict>
          </mc:Fallback>
        </mc:AlternateContent>
      </w:r>
      <w:r w:rsidR="00B6291C">
        <w:rPr>
          <w:i/>
          <w:noProof/>
          <w:sz w:val="24"/>
          <w:szCs w:val="24"/>
        </w:rPr>
        <w:drawing>
          <wp:anchor distT="0" distB="0" distL="114300" distR="114300" simplePos="0" relativeHeight="251694080" behindDoc="0" locked="0" layoutInCell="1" allowOverlap="1" wp14:anchorId="77531236" wp14:editId="67A7705D">
            <wp:simplePos x="0" y="0"/>
            <wp:positionH relativeFrom="column">
              <wp:posOffset>668020</wp:posOffset>
            </wp:positionH>
            <wp:positionV relativeFrom="paragraph">
              <wp:posOffset>-432435</wp:posOffset>
            </wp:positionV>
            <wp:extent cx="1597025" cy="7378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025" cy="737870"/>
                    </a:xfrm>
                    <a:prstGeom prst="rect">
                      <a:avLst/>
                    </a:prstGeom>
                    <a:noFill/>
                  </pic:spPr>
                </pic:pic>
              </a:graphicData>
            </a:graphic>
            <wp14:sizeRelH relativeFrom="page">
              <wp14:pctWidth>0</wp14:pctWidth>
            </wp14:sizeRelH>
            <wp14:sizeRelV relativeFrom="page">
              <wp14:pctHeight>0</wp14:pctHeight>
            </wp14:sizeRelV>
          </wp:anchor>
        </w:drawing>
      </w:r>
      <w:r w:rsidR="00940F77">
        <w:rPr>
          <w:noProof/>
        </w:rPr>
        <mc:AlternateContent>
          <mc:Choice Requires="wps">
            <w:drawing>
              <wp:anchor distT="0" distB="0" distL="114300" distR="114300" simplePos="0" relativeHeight="251691008" behindDoc="0" locked="0" layoutInCell="1" allowOverlap="1" wp14:anchorId="6756387F" wp14:editId="0D0AC8D7">
                <wp:simplePos x="0" y="0"/>
                <wp:positionH relativeFrom="column">
                  <wp:posOffset>-1871980</wp:posOffset>
                </wp:positionH>
                <wp:positionV relativeFrom="paragraph">
                  <wp:posOffset>281940</wp:posOffset>
                </wp:positionV>
                <wp:extent cx="6324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FE2C22" id="Straight Connector 25"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pt,22.2pt" to="350.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" strokecolor="#4579b8 [3044]"/>
            </w:pict>
          </mc:Fallback>
        </mc:AlternateContent>
      </w:r>
      <w:r w:rsidR="00940F77">
        <w:rPr>
          <w:noProof/>
        </w:rPr>
        <w:drawing>
          <wp:anchor distT="0" distB="0" distL="114300" distR="114300" simplePos="0" relativeHeight="251656192" behindDoc="1" locked="0" layoutInCell="1" allowOverlap="1" wp14:anchorId="06771704" wp14:editId="06F1D8C4">
            <wp:simplePos x="0" y="0"/>
            <wp:positionH relativeFrom="column">
              <wp:posOffset>-210185</wp:posOffset>
            </wp:positionH>
            <wp:positionV relativeFrom="paragraph">
              <wp:posOffset>-430530</wp:posOffset>
            </wp:positionV>
            <wp:extent cx="1772285" cy="685800"/>
            <wp:effectExtent l="0" t="0" r="0" b="0"/>
            <wp:wrapThrough wrapText="bothSides">
              <wp:wrapPolygon edited="0">
                <wp:start x="15556" y="0"/>
                <wp:lineTo x="0" y="0"/>
                <wp:lineTo x="0" y="21000"/>
                <wp:lineTo x="6501" y="21000"/>
                <wp:lineTo x="19503" y="21000"/>
                <wp:lineTo x="21360" y="21000"/>
                <wp:lineTo x="21360" y="18600"/>
                <wp:lineTo x="18806" y="9600"/>
                <wp:lineTo x="21360" y="9600"/>
                <wp:lineTo x="21360" y="2400"/>
                <wp:lineTo x="17181" y="0"/>
                <wp:lineTo x="15556" y="0"/>
              </wp:wrapPolygon>
            </wp:wrapThrough>
            <wp:docPr id="1" name="Picture 1" descr="C:\Users\tstrajnic\AppData\Local\Microsoft\Windows\Temporary Internet Files\Content.Outlook\XH00A7B0\F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trajnic\AppData\Local\Microsoft\Windows\Temporary Internet Files\Content.Outlook\XH00A7B0\FEMP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22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F77">
        <w:rPr>
          <w:b/>
          <w:noProof/>
        </w:rPr>
        <mc:AlternateContent>
          <mc:Choice Requires="wps">
            <w:drawing>
              <wp:anchor distT="0" distB="0" distL="114300" distR="114300" simplePos="0" relativeHeight="251693056" behindDoc="0" locked="0" layoutInCell="1" allowOverlap="1" wp14:anchorId="7A4CD353" wp14:editId="6641C22C">
                <wp:simplePos x="0" y="0"/>
                <wp:positionH relativeFrom="column">
                  <wp:posOffset>-1948180</wp:posOffset>
                </wp:positionH>
                <wp:positionV relativeFrom="paragraph">
                  <wp:posOffset>-613410</wp:posOffset>
                </wp:positionV>
                <wp:extent cx="6477000" cy="1428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477000" cy="142875"/>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570AD9" id="Rectangle 18" o:spid="_x0000_s1026" style="position:absolute;margin-left:-153.4pt;margin-top:-48.3pt;width:510pt;height:11.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" fillcolor="#b8cce4 [1300]" strokecolor="#95b3d7 [1940]" strokeweight="2pt"/>
            </w:pict>
          </mc:Fallback>
        </mc:AlternateContent>
      </w:r>
    </w:p>
    <w:p w14:paraId="390944FC" w14:textId="4E66AEAA" w:rsidR="000316A0" w:rsidRDefault="00A56E35" w:rsidP="00BB118D">
      <w:pPr>
        <w:rPr>
          <w:b/>
        </w:rPr>
      </w:pPr>
      <w:r>
        <w:rPr>
          <w:b/>
        </w:rPr>
        <w:t xml:space="preserve"> </w:t>
      </w:r>
    </w:p>
    <w:p w14:paraId="74F358C1" w14:textId="77777777" w:rsidR="00B66E5C" w:rsidRDefault="00B66E5C" w:rsidP="00B6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rPr>
          <w:rFonts w:cs="Arial"/>
          <w:b/>
          <w:i/>
          <w:sz w:val="28"/>
          <w:szCs w:val="28"/>
        </w:rPr>
      </w:pPr>
    </w:p>
    <w:p w14:paraId="7784CC00" w14:textId="77777777" w:rsidR="00BB7BF9" w:rsidRDefault="00BB7BF9" w:rsidP="002E5531">
      <w:pPr>
        <w:rPr>
          <w:rFonts w:cs="Arial"/>
          <w:b/>
          <w:sz w:val="28"/>
          <w:szCs w:val="28"/>
        </w:rPr>
      </w:pPr>
    </w:p>
    <w:p w14:paraId="49282E48" w14:textId="77777777" w:rsidR="002E5531" w:rsidRPr="0023750C" w:rsidRDefault="002E5531" w:rsidP="002E5531">
      <w:pPr>
        <w:rPr>
          <w:rFonts w:cs="Arial"/>
          <w:b/>
          <w:sz w:val="28"/>
          <w:szCs w:val="28"/>
        </w:rPr>
      </w:pPr>
      <w:r>
        <w:rPr>
          <w:rFonts w:cs="Arial"/>
          <w:b/>
          <w:sz w:val="28"/>
          <w:szCs w:val="28"/>
        </w:rPr>
        <w:t xml:space="preserve">ECM </w:t>
      </w:r>
      <w:r w:rsidRPr="0023750C">
        <w:rPr>
          <w:rFonts w:cs="Arial"/>
          <w:b/>
          <w:sz w:val="28"/>
          <w:szCs w:val="28"/>
        </w:rPr>
        <w:t>Lessons Learned</w:t>
      </w:r>
      <w:r>
        <w:rPr>
          <w:rFonts w:cs="Arial"/>
          <w:b/>
          <w:sz w:val="28"/>
          <w:szCs w:val="28"/>
        </w:rPr>
        <w:t xml:space="preserve">  -  For Energy Generation, Power Purchase Agreement, and Emerging Technology ECMs</w:t>
      </w:r>
    </w:p>
    <w:p w14:paraId="25845FB1" w14:textId="77777777" w:rsidR="002E5531" w:rsidRPr="00BF70C0" w:rsidRDefault="002E5531" w:rsidP="002E5531">
      <w:pPr>
        <w:rPr>
          <w:rFonts w:cs="Arial"/>
        </w:rPr>
      </w:pPr>
    </w:p>
    <w:p w14:paraId="6257D37A" w14:textId="77777777" w:rsidR="002E5531" w:rsidRPr="0023750C" w:rsidRDefault="002E5531" w:rsidP="002E5531">
      <w:pPr>
        <w:rPr>
          <w:rFonts w:cs="Arial"/>
          <w:b/>
          <w:i/>
          <w:sz w:val="28"/>
          <w:szCs w:val="28"/>
        </w:rPr>
      </w:pPr>
      <w:r w:rsidRPr="0023750C">
        <w:rPr>
          <w:rFonts w:cs="Arial"/>
          <w:b/>
          <w:i/>
          <w:sz w:val="28"/>
          <w:szCs w:val="28"/>
        </w:rPr>
        <w:t>Energy Generation Technologies</w:t>
      </w:r>
    </w:p>
    <w:p w14:paraId="5E58E8C7" w14:textId="77777777" w:rsidR="002E5531" w:rsidRDefault="002E5531" w:rsidP="002E5531">
      <w:pPr>
        <w:rPr>
          <w:rFonts w:cs="Arial"/>
        </w:rPr>
      </w:pPr>
    </w:p>
    <w:p w14:paraId="13E704FE" w14:textId="77777777" w:rsidR="002E5531" w:rsidRPr="00BB7BF9" w:rsidRDefault="002E5531" w:rsidP="002E5531">
      <w:pPr>
        <w:rPr>
          <w:rFonts w:asciiTheme="minorHAnsi" w:hAnsiTheme="minorHAnsi" w:cs="Arial"/>
        </w:rPr>
      </w:pPr>
      <w:r w:rsidRPr="00BB7BF9">
        <w:rPr>
          <w:rFonts w:asciiTheme="minorHAnsi" w:hAnsiTheme="minorHAnsi" w:cs="Arial"/>
          <w:b/>
        </w:rPr>
        <w:t>All Energy Generation Technologies</w:t>
      </w:r>
    </w:p>
    <w:p w14:paraId="20B750ED" w14:textId="77777777" w:rsidR="002E5531" w:rsidRPr="00BB7BF9" w:rsidRDefault="002E5531" w:rsidP="002E5531">
      <w:pPr>
        <w:pStyle w:val="ListParagraph"/>
        <w:numPr>
          <w:ilvl w:val="0"/>
          <w:numId w:val="16"/>
        </w:numPr>
        <w:spacing w:after="0"/>
        <w:rPr>
          <w:rFonts w:eastAsia="Times New Roman" w:cs="Arial"/>
        </w:rPr>
      </w:pPr>
      <w:r w:rsidRPr="00BB7BF9">
        <w:rPr>
          <w:rFonts w:eastAsia="Times New Roman" w:cs="Arial"/>
        </w:rPr>
        <w:t>Investigate National Environmental Policy Act (NEPA), National Historic Preservation Act, State Historic Preservation Officers (SHPO), and other associated siting or design considerations for the technology early on to understand practicality, and costs and timeline impacts (Shah).  Some p</w:t>
      </w:r>
      <w:r w:rsidRPr="00BB7BF9">
        <w:t>rojects can require local aesthetic review and approval as well (Holda).</w:t>
      </w:r>
    </w:p>
    <w:p w14:paraId="33A866F8" w14:textId="77777777" w:rsidR="002E5531" w:rsidRPr="00BB7BF9" w:rsidRDefault="002E5531" w:rsidP="002E5531">
      <w:pPr>
        <w:pStyle w:val="ListParagraph"/>
        <w:numPr>
          <w:ilvl w:val="0"/>
          <w:numId w:val="16"/>
        </w:numPr>
        <w:spacing w:after="0"/>
        <w:rPr>
          <w:rFonts w:cs="Arial"/>
          <w:color w:val="000000"/>
        </w:rPr>
      </w:pPr>
      <w:r w:rsidRPr="00BB7BF9">
        <w:rPr>
          <w:rFonts w:cs="Arial"/>
          <w:color w:val="000000"/>
        </w:rPr>
        <w:t>If the technology is to be grid-connected, grid connection should be thoroughly investigated and considered early in project development as connection requirements can be significant and their costs sizeable (Sharp, Holda).</w:t>
      </w:r>
    </w:p>
    <w:p w14:paraId="5E830DE3" w14:textId="0A522AC2" w:rsidR="002E5531" w:rsidRPr="00BB7BF9" w:rsidRDefault="002E5531" w:rsidP="002E5531">
      <w:pPr>
        <w:pStyle w:val="ListParagraph"/>
        <w:numPr>
          <w:ilvl w:val="0"/>
          <w:numId w:val="16"/>
        </w:numPr>
        <w:spacing w:after="0"/>
        <w:rPr>
          <w:rFonts w:eastAsia="Times New Roman" w:cs="Arial"/>
        </w:rPr>
      </w:pPr>
      <w:r w:rsidRPr="00BB7BF9">
        <w:rPr>
          <w:rFonts w:eastAsia="Times New Roman" w:cs="Arial"/>
        </w:rPr>
        <w:t xml:space="preserve">If the technology is to be grid-connected, review the interconnection agreement carefully.  Utilize GSA Areawide Contract Exhibit D.  Assess retail wheeling and privatization impacts if they are involved (Shah).  </w:t>
      </w:r>
      <w:r w:rsidRPr="00BB7BF9">
        <w:t>Resolving indemnification issues within interconnection agreements can take considerable time (Coleman).</w:t>
      </w:r>
    </w:p>
    <w:p w14:paraId="64B8967A" w14:textId="77777777" w:rsidR="002E5531" w:rsidRPr="00BB7BF9" w:rsidRDefault="002E5531" w:rsidP="002E5531">
      <w:pPr>
        <w:pStyle w:val="ListParagraph"/>
        <w:numPr>
          <w:ilvl w:val="0"/>
          <w:numId w:val="16"/>
        </w:numPr>
        <w:spacing w:after="0"/>
        <w:rPr>
          <w:rFonts w:eastAsia="Times New Roman" w:cs="Arial"/>
        </w:rPr>
      </w:pPr>
      <w:r w:rsidRPr="00BB7BF9">
        <w:rPr>
          <w:rFonts w:eastAsia="Times New Roman" w:cs="Arial"/>
        </w:rPr>
        <w:t xml:space="preserve">New energy generation technologies may add new and unfamiliar equipment to the customer’s infrastructure which could increase maintenance costs.  Agencies should assess their ability to O&amp;M these systems and determine if their current annual O&amp;M budget will be impacted.  It is recommended that O&amp;M responsibilities be assigned where they are best managed and that project economics consider any change to O&amp;M costs (Sharp). </w:t>
      </w:r>
    </w:p>
    <w:p w14:paraId="1871BE6F" w14:textId="77777777" w:rsidR="002E5531" w:rsidRPr="00BB7BF9" w:rsidRDefault="002E5531" w:rsidP="002E5531">
      <w:pPr>
        <w:ind w:left="360"/>
        <w:rPr>
          <w:rFonts w:asciiTheme="minorHAnsi" w:eastAsia="Times New Roman" w:hAnsiTheme="minorHAnsi" w:cs="Arial"/>
        </w:rPr>
      </w:pPr>
    </w:p>
    <w:p w14:paraId="5EA36251" w14:textId="77777777" w:rsidR="002E5531" w:rsidRPr="00BB7BF9" w:rsidRDefault="002E5531" w:rsidP="002E5531">
      <w:pPr>
        <w:rPr>
          <w:rFonts w:asciiTheme="minorHAnsi" w:hAnsiTheme="minorHAnsi" w:cs="Arial"/>
          <w:b/>
        </w:rPr>
      </w:pPr>
      <w:r w:rsidRPr="00BB7BF9">
        <w:rPr>
          <w:rFonts w:asciiTheme="minorHAnsi" w:hAnsiTheme="minorHAnsi" w:cs="Arial"/>
          <w:b/>
        </w:rPr>
        <w:t>Combined Heat and Power (CHP) Systems</w:t>
      </w:r>
    </w:p>
    <w:p w14:paraId="3CFFADE5" w14:textId="77777777" w:rsidR="002E5531" w:rsidRPr="00BB7BF9" w:rsidRDefault="002E5531" w:rsidP="002E5531">
      <w:pPr>
        <w:pStyle w:val="ListParagraph"/>
        <w:numPr>
          <w:ilvl w:val="0"/>
          <w:numId w:val="13"/>
        </w:numPr>
        <w:spacing w:after="0"/>
        <w:rPr>
          <w:rFonts w:cs="Arial"/>
          <w:color w:val="000000"/>
        </w:rPr>
      </w:pPr>
      <w:r w:rsidRPr="00BB7BF9">
        <w:rPr>
          <w:rFonts w:cs="Arial"/>
          <w:color w:val="000000"/>
        </w:rPr>
        <w:t>If not already part of agency review process, agencies might consider requiring ESCO's to provide reliablity/perfomance history data from OEM's on advanced technologies (e.g., technology categories 10 &amp; 11). Lack of reliability/performance data will help to highlight new technologies on market and/or new OEM's to technology space. (reference: multiple examples of up-time issues on small CHP ECMs typically NG fired recip-engines).</w:t>
      </w:r>
    </w:p>
    <w:p w14:paraId="37BEF652" w14:textId="77777777" w:rsidR="002E5531" w:rsidRPr="00BB7BF9" w:rsidRDefault="002E5531" w:rsidP="002E5531">
      <w:pPr>
        <w:pStyle w:val="ListParagraph"/>
        <w:numPr>
          <w:ilvl w:val="0"/>
          <w:numId w:val="13"/>
        </w:numPr>
        <w:spacing w:after="0"/>
        <w:rPr>
          <w:rFonts w:cs="Arial"/>
          <w:color w:val="000000"/>
        </w:rPr>
      </w:pPr>
      <w:r w:rsidRPr="00BB7BF9">
        <w:rPr>
          <w:rFonts w:cs="Arial"/>
          <w:color w:val="000000"/>
        </w:rPr>
        <w:t>Avoid use of blended rates, even at the Preliminary Assessment (PA) – use actual rate structure to better estimate economics.</w:t>
      </w:r>
    </w:p>
    <w:p w14:paraId="33FC703F" w14:textId="77777777" w:rsidR="002E5531" w:rsidRPr="00BB7BF9" w:rsidRDefault="002E5531" w:rsidP="002E5531">
      <w:pPr>
        <w:rPr>
          <w:rFonts w:asciiTheme="minorHAnsi" w:hAnsiTheme="minorHAnsi" w:cs="Arial"/>
          <w:color w:val="000000"/>
        </w:rPr>
      </w:pPr>
    </w:p>
    <w:p w14:paraId="766AED29" w14:textId="77777777" w:rsidR="002E5531" w:rsidRPr="00BB7BF9" w:rsidRDefault="002E5531" w:rsidP="002E5531">
      <w:pPr>
        <w:rPr>
          <w:rFonts w:asciiTheme="minorHAnsi" w:hAnsiTheme="minorHAnsi" w:cs="Arial"/>
          <w:color w:val="000000"/>
        </w:rPr>
      </w:pPr>
      <w:r w:rsidRPr="00BB7BF9">
        <w:rPr>
          <w:rFonts w:asciiTheme="minorHAnsi" w:hAnsiTheme="minorHAnsi" w:cs="Arial"/>
          <w:b/>
          <w:color w:val="000000"/>
        </w:rPr>
        <w:t>Biomass Systems</w:t>
      </w:r>
    </w:p>
    <w:p w14:paraId="7F193AA6" w14:textId="77777777" w:rsidR="002E5531" w:rsidRPr="00BB7BF9" w:rsidRDefault="002E5531" w:rsidP="002E5531">
      <w:pPr>
        <w:pStyle w:val="ListParagraph"/>
        <w:numPr>
          <w:ilvl w:val="0"/>
          <w:numId w:val="15"/>
        </w:numPr>
        <w:spacing w:after="0"/>
        <w:rPr>
          <w:rFonts w:cs="Arial"/>
          <w:color w:val="000000"/>
        </w:rPr>
      </w:pPr>
      <w:r w:rsidRPr="00BB7BF9">
        <w:rPr>
          <w:rFonts w:cs="Arial"/>
          <w:color w:val="000000"/>
        </w:rPr>
        <w:t>Agencies should strongly consider having the ESCO perform O&amp;M and be responsible for repair and replacement for these systems.  Not only are these systems unfamiliar to most agency sites, some have proven to be operationally challenging and have equipment reliability issues.</w:t>
      </w:r>
    </w:p>
    <w:p w14:paraId="05EBDCC8" w14:textId="77777777" w:rsidR="002E5531" w:rsidRPr="00BB7BF9" w:rsidRDefault="002E5531" w:rsidP="002E5531">
      <w:pPr>
        <w:pStyle w:val="ListParagraph"/>
        <w:numPr>
          <w:ilvl w:val="0"/>
          <w:numId w:val="15"/>
        </w:numPr>
        <w:spacing w:after="0"/>
        <w:rPr>
          <w:rFonts w:cs="Arial"/>
          <w:color w:val="000000"/>
        </w:rPr>
      </w:pPr>
      <w:r w:rsidRPr="00BB7BF9">
        <w:rPr>
          <w:rFonts w:cs="Arial"/>
          <w:color w:val="000000"/>
        </w:rPr>
        <w:t>Define who is responsible for biomass feedstock early.  The government should be very cautious about accepting responsibility for biomass feedstock.  It’s availability can fluctuate with demand which can result in a lack of continuous feedstock and/or intense price swings.  In addition, quality of the feedstock can vary widely which could put considerable savings at risk if the quality degrades (Holda, Sharp).</w:t>
      </w:r>
    </w:p>
    <w:p w14:paraId="44819C7A" w14:textId="77777777" w:rsidR="002E5531" w:rsidRPr="00BB7BF9" w:rsidRDefault="002E5531" w:rsidP="002E5531">
      <w:pPr>
        <w:pStyle w:val="ListParagraph"/>
        <w:numPr>
          <w:ilvl w:val="0"/>
          <w:numId w:val="15"/>
        </w:numPr>
        <w:spacing w:after="0"/>
        <w:rPr>
          <w:rFonts w:eastAsia="Times New Roman" w:cs="Arial"/>
        </w:rPr>
      </w:pPr>
      <w:r w:rsidRPr="00BB7BF9">
        <w:rPr>
          <w:rFonts w:eastAsia="Times New Roman" w:cs="Arial"/>
        </w:rPr>
        <w:lastRenderedPageBreak/>
        <w:t>The risk of unplanned outages and particularly the costs of acquiring alternative energy sources  short term should be considered.</w:t>
      </w:r>
    </w:p>
    <w:p w14:paraId="3B5CDA86" w14:textId="77777777" w:rsidR="002E5531" w:rsidRPr="00BB7BF9" w:rsidRDefault="002E5531" w:rsidP="002E5531">
      <w:pPr>
        <w:pStyle w:val="ListParagraph"/>
        <w:numPr>
          <w:ilvl w:val="0"/>
          <w:numId w:val="15"/>
        </w:numPr>
        <w:spacing w:after="0"/>
        <w:rPr>
          <w:rFonts w:eastAsia="Times New Roman" w:cs="Arial"/>
        </w:rPr>
      </w:pPr>
      <w:r w:rsidRPr="00BB7BF9">
        <w:rPr>
          <w:rFonts w:eastAsia="Times New Roman" w:cs="Arial"/>
        </w:rPr>
        <w:t>The potential impact of scheduled outages for planned and unplanned maintenance should be considered carefully to best manage utility cost impacts.</w:t>
      </w:r>
    </w:p>
    <w:p w14:paraId="7438173A" w14:textId="77777777" w:rsidR="002E5531" w:rsidRPr="00BB7BF9" w:rsidRDefault="002E5531" w:rsidP="002E5531">
      <w:pPr>
        <w:rPr>
          <w:rFonts w:asciiTheme="minorHAnsi" w:hAnsiTheme="minorHAnsi" w:cs="Arial"/>
          <w:color w:val="000000"/>
        </w:rPr>
      </w:pPr>
    </w:p>
    <w:p w14:paraId="26DFF007" w14:textId="77777777" w:rsidR="002E5531" w:rsidRPr="00BB7BF9" w:rsidRDefault="002E5531" w:rsidP="002E5531">
      <w:pPr>
        <w:rPr>
          <w:rFonts w:asciiTheme="minorHAnsi" w:hAnsiTheme="minorHAnsi" w:cs="Arial"/>
          <w:b/>
          <w:color w:val="000000"/>
        </w:rPr>
      </w:pPr>
      <w:r w:rsidRPr="00BB7BF9">
        <w:rPr>
          <w:rFonts w:asciiTheme="minorHAnsi" w:hAnsiTheme="minorHAnsi" w:cs="Arial"/>
          <w:b/>
          <w:color w:val="000000"/>
        </w:rPr>
        <w:t>Photovoltaic (PV) and Wind Energy Systems</w:t>
      </w:r>
    </w:p>
    <w:p w14:paraId="7807FBDB" w14:textId="77777777" w:rsidR="002E5531" w:rsidRPr="00BB7BF9" w:rsidRDefault="002E5531" w:rsidP="002E5531">
      <w:pPr>
        <w:pStyle w:val="ListParagraph"/>
        <w:numPr>
          <w:ilvl w:val="0"/>
          <w:numId w:val="14"/>
        </w:numPr>
        <w:spacing w:after="0"/>
        <w:rPr>
          <w:rFonts w:cs="Arial"/>
          <w:color w:val="000000"/>
        </w:rPr>
      </w:pPr>
      <w:r w:rsidRPr="00BB7BF9">
        <w:rPr>
          <w:rFonts w:cs="Arial"/>
          <w:color w:val="000000"/>
        </w:rPr>
        <w:t>For PV systems, many power inverters continue to have expected lives less than that of the PV grid.  As a result, a plan for replacement and that associated cost should be considered in the planning and economics of a PV measure (Sharp/Dahle/Coleman).</w:t>
      </w:r>
    </w:p>
    <w:p w14:paraId="6555ED0E" w14:textId="77777777" w:rsidR="002E5531" w:rsidRPr="00BB7BF9" w:rsidRDefault="002E5531" w:rsidP="002E5531">
      <w:pPr>
        <w:pStyle w:val="ListParagraph"/>
        <w:numPr>
          <w:ilvl w:val="0"/>
          <w:numId w:val="14"/>
        </w:numPr>
        <w:spacing w:after="0"/>
        <w:rPr>
          <w:rFonts w:eastAsia="Times New Roman" w:cs="Arial"/>
        </w:rPr>
      </w:pPr>
      <w:r w:rsidRPr="00BB7BF9">
        <w:rPr>
          <w:rFonts w:eastAsia="Times New Roman" w:cs="Arial"/>
        </w:rPr>
        <w:t>Compare renewable generation to load. If some export is expected, research net metering rules carefully (</w:t>
      </w:r>
      <w:r w:rsidRPr="00BB7BF9">
        <w:rPr>
          <w:rFonts w:cs="Arial"/>
          <w:color w:val="333333"/>
          <w:lang w:val="en"/>
        </w:rPr>
        <w:t>Shah</w:t>
      </w:r>
      <w:r w:rsidRPr="00BB7BF9">
        <w:rPr>
          <w:rFonts w:eastAsia="Times New Roman" w:cs="Arial"/>
        </w:rPr>
        <w:t>).</w:t>
      </w:r>
    </w:p>
    <w:p w14:paraId="2C740C87" w14:textId="77777777" w:rsidR="002E5531" w:rsidRPr="00BB7BF9" w:rsidRDefault="002E5531" w:rsidP="002E5531">
      <w:pPr>
        <w:pStyle w:val="ListParagraph"/>
        <w:numPr>
          <w:ilvl w:val="0"/>
          <w:numId w:val="14"/>
        </w:numPr>
        <w:spacing w:after="0"/>
        <w:rPr>
          <w:rFonts w:eastAsia="Times New Roman" w:cs="Arial"/>
        </w:rPr>
      </w:pPr>
      <w:r w:rsidRPr="00BB7BF9">
        <w:rPr>
          <w:rFonts w:eastAsia="Times New Roman" w:cs="Arial"/>
        </w:rPr>
        <w:t>Utilize very conservative (if any) demand charge savings estimates, unless the contractor is willing to guarantee savings (</w:t>
      </w:r>
      <w:r w:rsidRPr="00BB7BF9">
        <w:rPr>
          <w:rFonts w:cs="Arial"/>
          <w:color w:val="333333"/>
          <w:lang w:val="en"/>
        </w:rPr>
        <w:t>Shah</w:t>
      </w:r>
      <w:r w:rsidRPr="00BB7BF9">
        <w:rPr>
          <w:rFonts w:eastAsia="Times New Roman" w:cs="Arial"/>
        </w:rPr>
        <w:t>).  This appears to be related to the potential for intermittency of PV and wind energy.</w:t>
      </w:r>
    </w:p>
    <w:p w14:paraId="7B1153BB" w14:textId="77777777" w:rsidR="002E5531" w:rsidRPr="00BB7BF9" w:rsidRDefault="002E5531" w:rsidP="002E5531">
      <w:pPr>
        <w:pStyle w:val="ListParagraph"/>
        <w:numPr>
          <w:ilvl w:val="0"/>
          <w:numId w:val="14"/>
        </w:numPr>
        <w:spacing w:after="0"/>
        <w:rPr>
          <w:rFonts w:eastAsia="Times New Roman" w:cs="Arial"/>
        </w:rPr>
      </w:pPr>
      <w:r w:rsidRPr="00BB7BF9">
        <w:rPr>
          <w:rFonts w:eastAsia="Times New Roman" w:cs="Arial"/>
        </w:rPr>
        <w:t xml:space="preserve">Tailor project and the implementation approach based on your tariff and regulatory environment (standby charges; possible tariff changes due to load characteristic changes; if electricity sale planned (beyond net metering), what regulations apply, such as feed-in tariff, Public Utility Regulatory Policies Act of 1978 (Shah). </w:t>
      </w:r>
    </w:p>
    <w:p w14:paraId="62C63214" w14:textId="77777777" w:rsidR="002E5531" w:rsidRPr="00BB7BF9" w:rsidRDefault="002E5531" w:rsidP="002E5531">
      <w:pPr>
        <w:pStyle w:val="ListParagraph"/>
        <w:numPr>
          <w:ilvl w:val="0"/>
          <w:numId w:val="14"/>
        </w:numPr>
        <w:spacing w:after="0"/>
        <w:rPr>
          <w:rFonts w:eastAsia="Times New Roman" w:cs="Arial"/>
        </w:rPr>
      </w:pPr>
      <w:r w:rsidRPr="00BB7BF9">
        <w:t>Review the Buy America Act and determine how it may affect your project.  Buying modular overseas and assembling in America is sometimes done (Wolf).</w:t>
      </w:r>
    </w:p>
    <w:p w14:paraId="687C20ED" w14:textId="77777777" w:rsidR="002E5531" w:rsidRPr="00BB7BF9" w:rsidRDefault="002E5531" w:rsidP="002E5531">
      <w:pPr>
        <w:pStyle w:val="ListParagraph"/>
        <w:numPr>
          <w:ilvl w:val="0"/>
          <w:numId w:val="14"/>
        </w:numPr>
        <w:spacing w:after="0"/>
        <w:rPr>
          <w:rFonts w:eastAsia="Times New Roman" w:cs="Arial"/>
        </w:rPr>
      </w:pPr>
      <w:r w:rsidRPr="00BB7BF9">
        <w:t>If renewable project shades the ground, remember to consider the many potential siting needs such as: fencing, lighting, guttering/drainage, ground cover, ground maintenance (Coleman).</w:t>
      </w:r>
    </w:p>
    <w:p w14:paraId="7D080101" w14:textId="77777777" w:rsidR="002E5531" w:rsidRPr="00BB7BF9" w:rsidRDefault="002E5531" w:rsidP="002E5531">
      <w:pPr>
        <w:pStyle w:val="ListParagraph"/>
        <w:numPr>
          <w:ilvl w:val="0"/>
          <w:numId w:val="14"/>
        </w:numPr>
        <w:spacing w:after="0"/>
        <w:rPr>
          <w:rFonts w:eastAsia="Times New Roman" w:cs="Arial"/>
        </w:rPr>
      </w:pPr>
      <w:r w:rsidRPr="00BB7BF9">
        <w:t>Investigate available incentives for renewable energy projects (Shah).</w:t>
      </w:r>
    </w:p>
    <w:p w14:paraId="371B8C8F" w14:textId="77777777" w:rsidR="002E5531" w:rsidRPr="00BB7BF9" w:rsidRDefault="002E5531" w:rsidP="002E5531">
      <w:pPr>
        <w:rPr>
          <w:rFonts w:asciiTheme="minorHAnsi" w:eastAsia="Times New Roman" w:hAnsiTheme="minorHAnsi" w:cs="Arial"/>
        </w:rPr>
      </w:pPr>
    </w:p>
    <w:p w14:paraId="36EC13E8" w14:textId="77777777" w:rsidR="002E5531" w:rsidRPr="00BB7BF9" w:rsidRDefault="002E5531" w:rsidP="002E5531">
      <w:pPr>
        <w:rPr>
          <w:rFonts w:asciiTheme="minorHAnsi" w:eastAsia="Times New Roman" w:hAnsiTheme="minorHAnsi" w:cs="Arial"/>
          <w:b/>
        </w:rPr>
      </w:pPr>
      <w:r w:rsidRPr="00BB7BF9">
        <w:rPr>
          <w:rFonts w:asciiTheme="minorHAnsi" w:eastAsia="Times New Roman" w:hAnsiTheme="minorHAnsi" w:cs="Arial"/>
          <w:b/>
        </w:rPr>
        <w:t>Renewable Energy Credits and Solar Renewable Energy Certificate (SREC) Sale Considerations</w:t>
      </w:r>
    </w:p>
    <w:p w14:paraId="19C46979" w14:textId="77777777" w:rsidR="002E5531" w:rsidRPr="00BB7BF9" w:rsidRDefault="002E5531" w:rsidP="002E5531">
      <w:pPr>
        <w:pStyle w:val="ListParagraph"/>
        <w:numPr>
          <w:ilvl w:val="0"/>
          <w:numId w:val="17"/>
        </w:numPr>
        <w:spacing w:after="0"/>
        <w:rPr>
          <w:rFonts w:eastAsia="Times New Roman" w:cs="Arial"/>
        </w:rPr>
      </w:pPr>
      <w:r w:rsidRPr="00BB7BF9">
        <w:rPr>
          <w:rFonts w:eastAsia="Times New Roman" w:cs="Arial"/>
        </w:rPr>
        <w:t xml:space="preserve">Carefully consider SREC sales if part of project.  Not always permissible.  Project ownership is important (private vs. government) – ASBCA decision (see </w:t>
      </w:r>
      <w:hyperlink r:id="rId12" w:history="1">
        <w:r w:rsidRPr="00BB7BF9">
          <w:rPr>
            <w:rStyle w:val="Hyperlink"/>
            <w:rFonts w:eastAsia="Times New Roman" w:cs="Arial"/>
          </w:rPr>
          <w:t>http://energy.gov/eere/femp/downloads/fupwg-winter-2014-meeting-agenda-report-and-presentations</w:t>
        </w:r>
      </w:hyperlink>
      <w:r w:rsidRPr="00BB7BF9">
        <w:rPr>
          <w:rFonts w:eastAsia="Times New Roman" w:cs="Arial"/>
        </w:rPr>
        <w:t>)</w:t>
      </w:r>
    </w:p>
    <w:p w14:paraId="1F0F17A8" w14:textId="77777777" w:rsidR="002E5531" w:rsidRPr="00BB7BF9" w:rsidRDefault="002E5531" w:rsidP="002E5531">
      <w:pPr>
        <w:pStyle w:val="ListParagraph"/>
        <w:numPr>
          <w:ilvl w:val="0"/>
          <w:numId w:val="17"/>
        </w:numPr>
        <w:spacing w:after="0"/>
        <w:rPr>
          <w:rFonts w:eastAsia="Times New Roman" w:cs="Arial"/>
        </w:rPr>
      </w:pPr>
      <w:r w:rsidRPr="00BB7BF9">
        <w:rPr>
          <w:rFonts w:eastAsia="Times New Roman" w:cs="Arial"/>
        </w:rPr>
        <w:t>SREC markets are volatile – best to award contract quickly to avoid problems associated with significant SREC price reductions</w:t>
      </w:r>
    </w:p>
    <w:p w14:paraId="210B5390" w14:textId="77777777" w:rsidR="002E5531" w:rsidRPr="00BB7BF9" w:rsidRDefault="002E5531" w:rsidP="002E5531">
      <w:pPr>
        <w:pStyle w:val="ListParagraph"/>
        <w:numPr>
          <w:ilvl w:val="0"/>
          <w:numId w:val="17"/>
        </w:numPr>
        <w:spacing w:after="0"/>
        <w:rPr>
          <w:rFonts w:eastAsia="Times New Roman" w:cs="Arial"/>
        </w:rPr>
      </w:pPr>
      <w:r w:rsidRPr="00BB7BF9">
        <w:rPr>
          <w:rFonts w:eastAsia="Times New Roman" w:cs="Arial"/>
        </w:rPr>
        <w:t>Consider retaining RECs in out years since SREC values may be low (re-negotiate contract if it turns out they are valuable)</w:t>
      </w:r>
    </w:p>
    <w:p w14:paraId="4A917262" w14:textId="77777777" w:rsidR="002E5531" w:rsidRPr="00BB7BF9" w:rsidRDefault="002E5531" w:rsidP="002E5531">
      <w:pPr>
        <w:rPr>
          <w:rFonts w:asciiTheme="minorHAnsi" w:hAnsiTheme="minorHAnsi" w:cs="Arial"/>
          <w:color w:val="000000"/>
        </w:rPr>
      </w:pPr>
    </w:p>
    <w:p w14:paraId="48DE06D9" w14:textId="77777777" w:rsidR="002E5531" w:rsidRPr="00BB7BF9" w:rsidRDefault="002E5531" w:rsidP="002E5531">
      <w:pPr>
        <w:rPr>
          <w:rFonts w:asciiTheme="minorHAnsi" w:eastAsia="Times New Roman" w:hAnsiTheme="minorHAnsi" w:cs="Arial"/>
          <w:b/>
        </w:rPr>
      </w:pPr>
      <w:r w:rsidRPr="00BB7BF9">
        <w:rPr>
          <w:rFonts w:asciiTheme="minorHAnsi" w:eastAsia="Times New Roman" w:hAnsiTheme="minorHAnsi" w:cs="Arial"/>
          <w:b/>
          <w:i/>
          <w:sz w:val="28"/>
          <w:szCs w:val="28"/>
        </w:rPr>
        <w:t>Power Purchase Agreements</w:t>
      </w:r>
    </w:p>
    <w:p w14:paraId="08B9863B" w14:textId="77777777" w:rsidR="002E5531" w:rsidRPr="00BB7BF9" w:rsidRDefault="002E5531" w:rsidP="002E5531">
      <w:pPr>
        <w:pStyle w:val="ListParagraph"/>
        <w:numPr>
          <w:ilvl w:val="0"/>
          <w:numId w:val="18"/>
        </w:numPr>
        <w:spacing w:after="0"/>
        <w:rPr>
          <w:rFonts w:cs="Arial"/>
          <w:color w:val="000000"/>
        </w:rPr>
      </w:pPr>
      <w:r w:rsidRPr="00BB7BF9">
        <w:rPr>
          <w:rFonts w:eastAsia="Times New Roman" w:cs="Arial"/>
        </w:rPr>
        <w:t>Ensure that your state and utility allow PPAs if this is planned implement method (</w:t>
      </w:r>
      <w:r w:rsidRPr="00BB7BF9">
        <w:rPr>
          <w:rFonts w:cs="Arial"/>
          <w:color w:val="333333"/>
          <w:lang w:val="en"/>
        </w:rPr>
        <w:t>Shah</w:t>
      </w:r>
      <w:r w:rsidRPr="00BB7BF9">
        <w:rPr>
          <w:rFonts w:eastAsia="Times New Roman" w:cs="Arial"/>
        </w:rPr>
        <w:t>).</w:t>
      </w:r>
    </w:p>
    <w:p w14:paraId="505F3F47" w14:textId="77777777" w:rsidR="002E5531" w:rsidRPr="00BB7BF9" w:rsidRDefault="002E5531" w:rsidP="002E5531">
      <w:pPr>
        <w:rPr>
          <w:rFonts w:asciiTheme="minorHAnsi" w:hAnsiTheme="minorHAnsi" w:cs="Arial"/>
          <w:color w:val="000000"/>
        </w:rPr>
      </w:pPr>
    </w:p>
    <w:p w14:paraId="710B6952" w14:textId="77777777" w:rsidR="002E5531" w:rsidRPr="00BB7BF9" w:rsidRDefault="002E5531" w:rsidP="002E5531">
      <w:pPr>
        <w:rPr>
          <w:rFonts w:asciiTheme="minorHAnsi" w:hAnsiTheme="minorHAnsi" w:cs="Arial"/>
          <w:b/>
          <w:i/>
          <w:color w:val="000000"/>
          <w:sz w:val="28"/>
          <w:szCs w:val="28"/>
        </w:rPr>
      </w:pPr>
      <w:r w:rsidRPr="00BB7BF9">
        <w:rPr>
          <w:rFonts w:asciiTheme="minorHAnsi" w:hAnsiTheme="minorHAnsi" w:cs="Arial"/>
          <w:b/>
          <w:i/>
          <w:color w:val="000000"/>
          <w:sz w:val="28"/>
          <w:szCs w:val="28"/>
        </w:rPr>
        <w:t>Emerging Technologies</w:t>
      </w:r>
    </w:p>
    <w:p w14:paraId="5DD46985" w14:textId="77777777" w:rsidR="002E5531" w:rsidRPr="00BB7BF9" w:rsidRDefault="002E5531" w:rsidP="002E5531">
      <w:pPr>
        <w:pStyle w:val="ListParagraph"/>
        <w:numPr>
          <w:ilvl w:val="0"/>
          <w:numId w:val="12"/>
        </w:numPr>
        <w:spacing w:after="0"/>
        <w:rPr>
          <w:rFonts w:cs="Arial"/>
          <w:color w:val="000000"/>
        </w:rPr>
      </w:pPr>
      <w:r w:rsidRPr="00BB7BF9">
        <w:rPr>
          <w:rFonts w:cs="Arial"/>
          <w:color w:val="000000"/>
        </w:rPr>
        <w:t>If the agency has an interest in emerging technologies , seek out the ESCOs experience early such as at the NOO.  Perhaps even put a requirement in the NOO (Hattery).</w:t>
      </w:r>
    </w:p>
    <w:p w14:paraId="38E10163" w14:textId="77777777" w:rsidR="002E5531" w:rsidRPr="00BB7BF9" w:rsidRDefault="002E5531" w:rsidP="002E5531">
      <w:pPr>
        <w:pStyle w:val="ListParagraph"/>
        <w:numPr>
          <w:ilvl w:val="0"/>
          <w:numId w:val="12"/>
        </w:numPr>
        <w:spacing w:after="0"/>
        <w:rPr>
          <w:rFonts w:cs="Arial"/>
          <w:color w:val="000000"/>
        </w:rPr>
      </w:pPr>
      <w:r w:rsidRPr="00BB7BF9">
        <w:rPr>
          <w:rFonts w:cs="Arial"/>
          <w:color w:val="000000"/>
        </w:rPr>
        <w:t>Consider a limited-scale demonstration of the technology during the IGA phase before the technology is locked in on a wider scale (for more information:  Holda)</w:t>
      </w:r>
    </w:p>
    <w:p w14:paraId="2AFF0649" w14:textId="77777777" w:rsidR="002E5531" w:rsidRPr="00BB7BF9" w:rsidRDefault="002E5531" w:rsidP="002E5531">
      <w:pPr>
        <w:pStyle w:val="ListParagraph"/>
        <w:numPr>
          <w:ilvl w:val="0"/>
          <w:numId w:val="12"/>
        </w:numPr>
        <w:spacing w:after="0"/>
        <w:rPr>
          <w:rFonts w:cs="Arial"/>
        </w:rPr>
      </w:pPr>
      <w:r w:rsidRPr="00BB7BF9">
        <w:rPr>
          <w:rFonts w:cs="Arial"/>
          <w:color w:val="000000"/>
        </w:rPr>
        <w:t xml:space="preserve">The ESCO experience, inexperience, or need to contract out associated with emerging </w:t>
      </w:r>
      <w:r w:rsidRPr="00BB7BF9">
        <w:rPr>
          <w:rFonts w:cs="Arial"/>
        </w:rPr>
        <w:t>technologies can affect pricing so an agency might want to consider these in advance (Stetz)</w:t>
      </w:r>
    </w:p>
    <w:p w14:paraId="14A0F7C3" w14:textId="77777777" w:rsidR="002E5531" w:rsidRPr="00BB7BF9" w:rsidRDefault="002E5531" w:rsidP="002E5531">
      <w:pPr>
        <w:pStyle w:val="ListParagraph"/>
        <w:numPr>
          <w:ilvl w:val="0"/>
          <w:numId w:val="12"/>
        </w:numPr>
        <w:spacing w:after="0"/>
        <w:rPr>
          <w:rFonts w:cs="Arial"/>
        </w:rPr>
      </w:pPr>
      <w:r w:rsidRPr="00BB7BF9">
        <w:rPr>
          <w:rFonts w:eastAsia="Times New Roman" w:cs="Arial"/>
        </w:rPr>
        <w:t>Look for cooperation among project partners.  Emerging technology measures often require a mix of motivation and tolerance between partners.  Partners are either motivated to incorporate the technology into the project or tolerant to have it as part of the project.</w:t>
      </w:r>
    </w:p>
    <w:p w14:paraId="7E4DB420" w14:textId="77777777" w:rsidR="002E5531" w:rsidRPr="00BB7BF9" w:rsidRDefault="002E5531" w:rsidP="002E5531">
      <w:pPr>
        <w:pStyle w:val="ListParagraph"/>
        <w:numPr>
          <w:ilvl w:val="0"/>
          <w:numId w:val="12"/>
        </w:numPr>
        <w:spacing w:after="0"/>
        <w:rPr>
          <w:rFonts w:cs="Arial"/>
        </w:rPr>
      </w:pPr>
      <w:r w:rsidRPr="00BB7BF9">
        <w:rPr>
          <w:rFonts w:eastAsia="Times New Roman" w:cs="Arial"/>
        </w:rPr>
        <w:lastRenderedPageBreak/>
        <w:t>Perceived risks need to identified, managed, and/or mitigated. Risk can be reduced by being properly shared among the parties, and by acquiring more detailed technical information</w:t>
      </w:r>
    </w:p>
    <w:p w14:paraId="060429FD" w14:textId="77777777" w:rsidR="002E5531" w:rsidRPr="00BB7BF9" w:rsidRDefault="002E5531" w:rsidP="002E5531">
      <w:pPr>
        <w:pStyle w:val="ListParagraph"/>
        <w:numPr>
          <w:ilvl w:val="0"/>
          <w:numId w:val="12"/>
        </w:numPr>
        <w:spacing w:after="0"/>
        <w:rPr>
          <w:rFonts w:cs="Arial"/>
          <w:color w:val="000000"/>
        </w:rPr>
      </w:pPr>
      <w:r w:rsidRPr="00BB7BF9">
        <w:rPr>
          <w:rFonts w:eastAsia="Times New Roman" w:cs="Arial"/>
        </w:rPr>
        <w:t>Consider leveraging technology experts from the USDOE National Labs and/or private sector to educate stakeholders, and emphasize value and benefits.</w:t>
      </w:r>
    </w:p>
    <w:p w14:paraId="23129120" w14:textId="77777777" w:rsidR="00BB7BF9" w:rsidRDefault="00BB7BF9" w:rsidP="00BB7BF9">
      <w:pPr>
        <w:pStyle w:val="ListParagraph"/>
        <w:spacing w:after="0"/>
        <w:rPr>
          <w:rFonts w:eastAsia="Times New Roman" w:cs="Arial"/>
        </w:rPr>
      </w:pPr>
    </w:p>
    <w:p w14:paraId="1A563039" w14:textId="77777777" w:rsidR="00BB7BF9" w:rsidRPr="00BB7BF9" w:rsidRDefault="00BB7BF9" w:rsidP="00BB7BF9">
      <w:pPr>
        <w:pStyle w:val="ListParagraph"/>
        <w:spacing w:after="0"/>
        <w:rPr>
          <w:rFonts w:cs="Arial"/>
          <w:color w:val="000000"/>
        </w:rPr>
      </w:pPr>
    </w:p>
    <w:p w14:paraId="7BC85832" w14:textId="77777777" w:rsidR="002E5531" w:rsidRPr="00BB7BF9" w:rsidRDefault="002E5531" w:rsidP="002E5531">
      <w:pPr>
        <w:rPr>
          <w:rFonts w:asciiTheme="minorHAnsi" w:hAnsiTheme="minorHAnsi" w:cs="Arial"/>
          <w:color w:val="000000"/>
          <w:sz w:val="28"/>
          <w:szCs w:val="28"/>
        </w:rPr>
      </w:pPr>
      <w:r w:rsidRPr="00BB7BF9">
        <w:rPr>
          <w:rFonts w:asciiTheme="minorHAnsi" w:hAnsiTheme="minorHAnsi" w:cs="Arial"/>
          <w:color w:val="000000"/>
          <w:sz w:val="28"/>
          <w:szCs w:val="28"/>
        </w:rPr>
        <w:t>Lessons Learned Contributors:</w:t>
      </w:r>
    </w:p>
    <w:p w14:paraId="4FEC60F0" w14:textId="77777777" w:rsidR="002E5531" w:rsidRPr="00BB7BF9" w:rsidRDefault="002E5531" w:rsidP="002E5531">
      <w:pPr>
        <w:rPr>
          <w:rFonts w:asciiTheme="minorHAnsi" w:hAnsiTheme="minorHAnsi" w:cs="Arial"/>
          <w:color w:val="000000"/>
        </w:rPr>
      </w:pPr>
      <w:r w:rsidRPr="00BB7BF9">
        <w:rPr>
          <w:rFonts w:asciiTheme="minorHAnsi" w:hAnsiTheme="minorHAnsi" w:cs="Arial"/>
          <w:color w:val="000000"/>
        </w:rPr>
        <w:t>Phil Coleman</w:t>
      </w:r>
      <w:r w:rsidRPr="00BB7BF9">
        <w:rPr>
          <w:rFonts w:asciiTheme="minorHAnsi" w:hAnsiTheme="minorHAnsi" w:cs="Arial"/>
          <w:color w:val="000000"/>
        </w:rPr>
        <w:tab/>
      </w:r>
      <w:r w:rsidRPr="00BB7BF9">
        <w:rPr>
          <w:rFonts w:asciiTheme="minorHAnsi" w:hAnsiTheme="minorHAnsi" w:cs="Arial"/>
          <w:color w:val="000000"/>
        </w:rPr>
        <w:tab/>
        <w:t xml:space="preserve">&lt;pecoleman@lbl.gov&gt; </w:t>
      </w:r>
    </w:p>
    <w:p w14:paraId="3A4FC1D0" w14:textId="77777777" w:rsidR="002E5531" w:rsidRPr="00BB7BF9" w:rsidRDefault="002E5531" w:rsidP="002E5531">
      <w:pPr>
        <w:rPr>
          <w:rFonts w:asciiTheme="minorHAnsi" w:hAnsiTheme="minorHAnsi" w:cs="Arial"/>
          <w:color w:val="000000"/>
        </w:rPr>
      </w:pPr>
      <w:r w:rsidRPr="00BB7BF9">
        <w:rPr>
          <w:rFonts w:asciiTheme="minorHAnsi" w:hAnsiTheme="minorHAnsi" w:cs="Arial"/>
          <w:color w:val="000000"/>
        </w:rPr>
        <w:t xml:space="preserve">Doug Dahle </w:t>
      </w:r>
      <w:r w:rsidRPr="00BB7BF9">
        <w:rPr>
          <w:rFonts w:asciiTheme="minorHAnsi" w:hAnsiTheme="minorHAnsi" w:cs="Arial"/>
          <w:color w:val="000000"/>
        </w:rPr>
        <w:tab/>
      </w:r>
      <w:r w:rsidRPr="00BB7BF9">
        <w:rPr>
          <w:rFonts w:asciiTheme="minorHAnsi" w:hAnsiTheme="minorHAnsi" w:cs="Arial"/>
          <w:color w:val="000000"/>
        </w:rPr>
        <w:tab/>
        <w:t xml:space="preserve">&lt;Douglas.Dahle@nrel.gov&gt; </w:t>
      </w:r>
    </w:p>
    <w:p w14:paraId="20CB0E3F" w14:textId="77777777" w:rsidR="002E5531" w:rsidRPr="00BB7BF9" w:rsidRDefault="002E5531" w:rsidP="002E5531">
      <w:pPr>
        <w:rPr>
          <w:rFonts w:asciiTheme="minorHAnsi" w:hAnsiTheme="minorHAnsi" w:cs="Arial"/>
          <w:color w:val="000000"/>
        </w:rPr>
      </w:pPr>
      <w:r w:rsidRPr="00BB7BF9">
        <w:rPr>
          <w:rFonts w:asciiTheme="minorHAnsi" w:hAnsiTheme="minorHAnsi" w:cs="Arial"/>
          <w:color w:val="000000"/>
        </w:rPr>
        <w:t>Tom Hattery</w:t>
      </w:r>
      <w:r w:rsidRPr="00BB7BF9">
        <w:rPr>
          <w:rFonts w:asciiTheme="minorHAnsi" w:hAnsiTheme="minorHAnsi" w:cs="Arial"/>
          <w:color w:val="000000"/>
        </w:rPr>
        <w:tab/>
      </w:r>
      <w:r w:rsidRPr="00BB7BF9">
        <w:rPr>
          <w:rFonts w:asciiTheme="minorHAnsi" w:hAnsiTheme="minorHAnsi" w:cs="Arial"/>
          <w:color w:val="000000"/>
        </w:rPr>
        <w:tab/>
        <w:t xml:space="preserve">&lt;Thomas.Hattery@ee.doe.gov&gt; </w:t>
      </w:r>
    </w:p>
    <w:p w14:paraId="28EE5DE1" w14:textId="77777777" w:rsidR="002E5531" w:rsidRPr="00BB7BF9" w:rsidRDefault="002E5531" w:rsidP="002E5531">
      <w:pPr>
        <w:rPr>
          <w:rFonts w:asciiTheme="minorHAnsi" w:hAnsiTheme="minorHAnsi" w:cs="Arial"/>
          <w:color w:val="000000"/>
        </w:rPr>
      </w:pPr>
      <w:r w:rsidRPr="00BB7BF9">
        <w:rPr>
          <w:rFonts w:asciiTheme="minorHAnsi" w:hAnsiTheme="minorHAnsi" w:cs="Arial"/>
          <w:color w:val="000000"/>
        </w:rPr>
        <w:t>Mike Holda</w:t>
      </w:r>
      <w:r w:rsidRPr="00BB7BF9">
        <w:rPr>
          <w:rFonts w:asciiTheme="minorHAnsi" w:hAnsiTheme="minorHAnsi" w:cs="Arial"/>
          <w:color w:val="000000"/>
        </w:rPr>
        <w:tab/>
      </w:r>
      <w:r w:rsidRPr="00BB7BF9">
        <w:rPr>
          <w:rFonts w:asciiTheme="minorHAnsi" w:hAnsiTheme="minorHAnsi" w:cs="Arial"/>
          <w:color w:val="000000"/>
        </w:rPr>
        <w:tab/>
        <w:t xml:space="preserve">&lt;holda@mindspring.com&gt; </w:t>
      </w:r>
    </w:p>
    <w:p w14:paraId="5B945628" w14:textId="77777777" w:rsidR="002E5531" w:rsidRPr="00BB7BF9" w:rsidRDefault="002E5531" w:rsidP="002E5531">
      <w:pPr>
        <w:rPr>
          <w:rFonts w:asciiTheme="minorHAnsi" w:hAnsiTheme="minorHAnsi" w:cs="Arial"/>
          <w:color w:val="000000"/>
        </w:rPr>
      </w:pPr>
      <w:r w:rsidRPr="00BB7BF9">
        <w:rPr>
          <w:rFonts w:asciiTheme="minorHAnsi" w:hAnsiTheme="minorHAnsi" w:cs="Arial"/>
          <w:color w:val="000000"/>
        </w:rPr>
        <w:t>Chandra Shah</w:t>
      </w:r>
      <w:r w:rsidRPr="00BB7BF9">
        <w:rPr>
          <w:rFonts w:asciiTheme="minorHAnsi" w:hAnsiTheme="minorHAnsi" w:cs="Arial"/>
          <w:color w:val="000000"/>
        </w:rPr>
        <w:tab/>
      </w:r>
      <w:r w:rsidRPr="00BB7BF9">
        <w:rPr>
          <w:rFonts w:asciiTheme="minorHAnsi" w:hAnsiTheme="minorHAnsi" w:cs="Arial"/>
          <w:color w:val="000000"/>
        </w:rPr>
        <w:tab/>
        <w:t>&lt;</w:t>
      </w:r>
      <w:r w:rsidRPr="00BB7BF9">
        <w:rPr>
          <w:rFonts w:asciiTheme="minorHAnsi" w:hAnsiTheme="minorHAnsi" w:cs="Helvetica"/>
          <w:color w:val="333333"/>
        </w:rPr>
        <w:t>Chandra.Shah@nrel.gov&gt;</w:t>
      </w:r>
    </w:p>
    <w:p w14:paraId="64BA1911" w14:textId="77777777" w:rsidR="002E5531" w:rsidRPr="00BB7BF9" w:rsidRDefault="002E5531" w:rsidP="002E5531">
      <w:pPr>
        <w:rPr>
          <w:rFonts w:asciiTheme="minorHAnsi" w:hAnsiTheme="minorHAnsi" w:cs="Arial"/>
          <w:color w:val="000000"/>
        </w:rPr>
      </w:pPr>
      <w:r w:rsidRPr="00BB7BF9">
        <w:rPr>
          <w:rFonts w:asciiTheme="minorHAnsi" w:hAnsiTheme="minorHAnsi" w:cs="Arial"/>
          <w:color w:val="000000"/>
        </w:rPr>
        <w:t>Terry Sharp</w:t>
      </w:r>
      <w:r w:rsidRPr="00BB7BF9">
        <w:rPr>
          <w:rFonts w:asciiTheme="minorHAnsi" w:hAnsiTheme="minorHAnsi" w:cs="Arial"/>
          <w:color w:val="000000"/>
        </w:rPr>
        <w:tab/>
      </w:r>
      <w:r w:rsidRPr="00BB7BF9">
        <w:rPr>
          <w:rFonts w:asciiTheme="minorHAnsi" w:hAnsiTheme="minorHAnsi" w:cs="Arial"/>
          <w:color w:val="000000"/>
        </w:rPr>
        <w:tab/>
        <w:t>&lt;sharptr@ornl.gov&gt;</w:t>
      </w:r>
    </w:p>
    <w:p w14:paraId="52608787" w14:textId="77777777" w:rsidR="002E5531" w:rsidRPr="00BB7BF9" w:rsidRDefault="002E5531" w:rsidP="002E5531">
      <w:pPr>
        <w:rPr>
          <w:rFonts w:asciiTheme="minorHAnsi" w:hAnsiTheme="minorHAnsi" w:cs="Arial"/>
          <w:color w:val="000000"/>
        </w:rPr>
      </w:pPr>
      <w:r w:rsidRPr="00BB7BF9">
        <w:rPr>
          <w:rFonts w:asciiTheme="minorHAnsi" w:hAnsiTheme="minorHAnsi" w:cs="Arial"/>
          <w:color w:val="000000"/>
        </w:rPr>
        <w:t>Mark Stetz</w:t>
      </w:r>
      <w:r w:rsidRPr="00BB7BF9">
        <w:rPr>
          <w:rFonts w:asciiTheme="minorHAnsi" w:hAnsiTheme="minorHAnsi" w:cs="Arial"/>
          <w:color w:val="000000"/>
        </w:rPr>
        <w:tab/>
      </w:r>
      <w:r w:rsidRPr="00BB7BF9">
        <w:rPr>
          <w:rFonts w:asciiTheme="minorHAnsi" w:hAnsiTheme="minorHAnsi" w:cs="Arial"/>
          <w:color w:val="000000"/>
        </w:rPr>
        <w:tab/>
        <w:t>&lt;mark@stetzconsulting.com&gt;</w:t>
      </w:r>
    </w:p>
    <w:p w14:paraId="5C3C2487" w14:textId="77777777" w:rsidR="002E5531" w:rsidRPr="00BB7BF9" w:rsidRDefault="002E5531" w:rsidP="002E5531">
      <w:pPr>
        <w:rPr>
          <w:rFonts w:asciiTheme="minorHAnsi" w:hAnsiTheme="minorHAnsi" w:cs="Arial"/>
          <w:color w:val="000000"/>
        </w:rPr>
      </w:pPr>
      <w:r w:rsidRPr="00BB7BF9">
        <w:rPr>
          <w:rFonts w:asciiTheme="minorHAnsi" w:hAnsiTheme="minorHAnsi" w:cs="Arial"/>
          <w:color w:val="000000"/>
        </w:rPr>
        <w:t>Scott Wolf</w:t>
      </w:r>
      <w:r w:rsidRPr="00BB7BF9">
        <w:rPr>
          <w:rFonts w:asciiTheme="minorHAnsi" w:hAnsiTheme="minorHAnsi" w:cs="Arial"/>
          <w:color w:val="000000"/>
        </w:rPr>
        <w:tab/>
      </w:r>
      <w:r w:rsidRPr="00BB7BF9">
        <w:rPr>
          <w:rFonts w:asciiTheme="minorHAnsi" w:hAnsiTheme="minorHAnsi" w:cs="Arial"/>
          <w:color w:val="000000"/>
        </w:rPr>
        <w:tab/>
        <w:t>&lt;wolfsc@ornl.gov&gt;</w:t>
      </w:r>
    </w:p>
    <w:p w14:paraId="6200FC59" w14:textId="660D2DA1" w:rsidR="00B66E5C" w:rsidRPr="00BB7BF9" w:rsidRDefault="00B66E5C" w:rsidP="002E5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rPr>
          <w:rFonts w:asciiTheme="minorHAnsi" w:hAnsiTheme="minorHAnsi" w:cs="Arial"/>
          <w:b/>
          <w:sz w:val="28"/>
          <w:szCs w:val="28"/>
        </w:rPr>
      </w:pPr>
    </w:p>
    <w:sectPr w:rsidR="00B66E5C" w:rsidRPr="00BB7BF9" w:rsidSect="00DA19B3">
      <w:headerReference w:type="default" r:id="rId13"/>
      <w:footerReference w:type="default" r:id="rId14"/>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E165C" w14:textId="77777777" w:rsidR="00DD4212" w:rsidRDefault="00DD4212" w:rsidP="00FF7786">
      <w:r>
        <w:separator/>
      </w:r>
    </w:p>
  </w:endnote>
  <w:endnote w:type="continuationSeparator" w:id="0">
    <w:p w14:paraId="5477C2D3" w14:textId="77777777" w:rsidR="00DD4212" w:rsidRDefault="00DD4212" w:rsidP="00F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9543" w14:textId="0103F9A5" w:rsidR="00241965" w:rsidRDefault="00241965" w:rsidP="00024749">
    <w:pPr>
      <w:pStyle w:val="Footer"/>
      <w:pBdr>
        <w:top w:val="single" w:sz="4" w:space="1" w:color="auto"/>
      </w:pBdr>
    </w:pPr>
    <w:r>
      <w:tab/>
    </w:r>
    <w:r w:rsidRPr="00024749">
      <w:rPr>
        <w:sz w:val="20"/>
      </w:rPr>
      <w:fldChar w:fldCharType="begin"/>
    </w:r>
    <w:r w:rsidRPr="00024749">
      <w:rPr>
        <w:sz w:val="20"/>
      </w:rPr>
      <w:instrText xml:space="preserve"> PAGE   \* MERGEFORMAT </w:instrText>
    </w:r>
    <w:r w:rsidRPr="00024749">
      <w:rPr>
        <w:sz w:val="20"/>
      </w:rPr>
      <w:fldChar w:fldCharType="separate"/>
    </w:r>
    <w:r w:rsidR="00804E06">
      <w:rPr>
        <w:noProof/>
        <w:sz w:val="20"/>
      </w:rPr>
      <w:t>1</w:t>
    </w:r>
    <w:r w:rsidRPr="0002474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A931" w14:textId="77777777" w:rsidR="00DD4212" w:rsidRDefault="00DD4212" w:rsidP="00FF7786">
      <w:r>
        <w:separator/>
      </w:r>
    </w:p>
  </w:footnote>
  <w:footnote w:type="continuationSeparator" w:id="0">
    <w:p w14:paraId="6E3F7AB7" w14:textId="77777777" w:rsidR="00DD4212" w:rsidRDefault="00DD4212" w:rsidP="00FF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26B1" w14:textId="24687E8D" w:rsidR="00241965" w:rsidRDefault="00241965" w:rsidP="00024749">
    <w:pPr>
      <w:pStyle w:val="Header"/>
      <w:jc w:val="right"/>
      <w:rPr>
        <w:sz w:val="20"/>
      </w:rPr>
    </w:pPr>
    <w:r w:rsidRPr="00BB118D">
      <w:rPr>
        <w:sz w:val="20"/>
      </w:rPr>
      <w:t xml:space="preserve"> </w:t>
    </w:r>
  </w:p>
  <w:p w14:paraId="1449EA63" w14:textId="1E4F7A7C" w:rsidR="00241965" w:rsidRDefault="002419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50DA"/>
    <w:multiLevelType w:val="hybridMultilevel"/>
    <w:tmpl w:val="F5209752"/>
    <w:lvl w:ilvl="0" w:tplc="04090001">
      <w:start w:val="1"/>
      <w:numFmt w:val="bullet"/>
      <w:lvlText w:val=""/>
      <w:lvlJc w:val="left"/>
      <w:pPr>
        <w:tabs>
          <w:tab w:val="num" w:pos="720"/>
        </w:tabs>
        <w:ind w:left="720" w:hanging="360"/>
      </w:pPr>
      <w:rPr>
        <w:rFonts w:ascii="Symbol" w:hAnsi="Symbol" w:hint="default"/>
      </w:rPr>
    </w:lvl>
    <w:lvl w:ilvl="1" w:tplc="AA82AD5A">
      <w:start w:val="1"/>
      <w:numFmt w:val="decimal"/>
      <w:lvlText w:val="%2."/>
      <w:lvlJc w:val="left"/>
      <w:pPr>
        <w:tabs>
          <w:tab w:val="num" w:pos="1440"/>
        </w:tabs>
        <w:ind w:left="1440" w:hanging="360"/>
      </w:pPr>
    </w:lvl>
    <w:lvl w:ilvl="2" w:tplc="08841352">
      <w:start w:val="1"/>
      <w:numFmt w:val="decimal"/>
      <w:lvlText w:val="%3."/>
      <w:lvlJc w:val="left"/>
      <w:pPr>
        <w:tabs>
          <w:tab w:val="num" w:pos="2160"/>
        </w:tabs>
        <w:ind w:left="2160" w:hanging="360"/>
      </w:pPr>
    </w:lvl>
    <w:lvl w:ilvl="3" w:tplc="74B8572E">
      <w:start w:val="1"/>
      <w:numFmt w:val="decimal"/>
      <w:lvlText w:val="%4."/>
      <w:lvlJc w:val="left"/>
      <w:pPr>
        <w:tabs>
          <w:tab w:val="num" w:pos="2880"/>
        </w:tabs>
        <w:ind w:left="2880" w:hanging="360"/>
      </w:pPr>
    </w:lvl>
    <w:lvl w:ilvl="4" w:tplc="1C541CDC">
      <w:start w:val="1"/>
      <w:numFmt w:val="decimal"/>
      <w:lvlText w:val="%5."/>
      <w:lvlJc w:val="left"/>
      <w:pPr>
        <w:tabs>
          <w:tab w:val="num" w:pos="3600"/>
        </w:tabs>
        <w:ind w:left="3600" w:hanging="360"/>
      </w:pPr>
    </w:lvl>
    <w:lvl w:ilvl="5" w:tplc="6674C810">
      <w:start w:val="1"/>
      <w:numFmt w:val="decimal"/>
      <w:lvlText w:val="%6."/>
      <w:lvlJc w:val="left"/>
      <w:pPr>
        <w:tabs>
          <w:tab w:val="num" w:pos="4320"/>
        </w:tabs>
        <w:ind w:left="4320" w:hanging="360"/>
      </w:pPr>
    </w:lvl>
    <w:lvl w:ilvl="6" w:tplc="B0BA58A0">
      <w:start w:val="1"/>
      <w:numFmt w:val="decimal"/>
      <w:lvlText w:val="%7."/>
      <w:lvlJc w:val="left"/>
      <w:pPr>
        <w:tabs>
          <w:tab w:val="num" w:pos="5040"/>
        </w:tabs>
        <w:ind w:left="5040" w:hanging="360"/>
      </w:pPr>
    </w:lvl>
    <w:lvl w:ilvl="7" w:tplc="4B7073AE">
      <w:start w:val="1"/>
      <w:numFmt w:val="decimal"/>
      <w:lvlText w:val="%8."/>
      <w:lvlJc w:val="left"/>
      <w:pPr>
        <w:tabs>
          <w:tab w:val="num" w:pos="5760"/>
        </w:tabs>
        <w:ind w:left="5760" w:hanging="360"/>
      </w:pPr>
    </w:lvl>
    <w:lvl w:ilvl="8" w:tplc="33F4A59A">
      <w:start w:val="1"/>
      <w:numFmt w:val="decimal"/>
      <w:lvlText w:val="%9."/>
      <w:lvlJc w:val="left"/>
      <w:pPr>
        <w:tabs>
          <w:tab w:val="num" w:pos="6480"/>
        </w:tabs>
        <w:ind w:left="6480" w:hanging="360"/>
      </w:pPr>
    </w:lvl>
  </w:abstractNum>
  <w:abstractNum w:abstractNumId="1" w15:restartNumberingAfterBreak="0">
    <w:nsid w:val="12434F35"/>
    <w:multiLevelType w:val="hybridMultilevel"/>
    <w:tmpl w:val="1FB85F5A"/>
    <w:lvl w:ilvl="0" w:tplc="94621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81EE0"/>
    <w:multiLevelType w:val="hybridMultilevel"/>
    <w:tmpl w:val="C7B64B2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D320BF1"/>
    <w:multiLevelType w:val="hybridMultilevel"/>
    <w:tmpl w:val="32D451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17FB1"/>
    <w:multiLevelType w:val="hybridMultilevel"/>
    <w:tmpl w:val="DDDE30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4032E6"/>
    <w:multiLevelType w:val="hybridMultilevel"/>
    <w:tmpl w:val="0360FAD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83877"/>
    <w:multiLevelType w:val="hybridMultilevel"/>
    <w:tmpl w:val="BE287A72"/>
    <w:lvl w:ilvl="0" w:tplc="086EC290">
      <w:start w:val="1"/>
      <w:numFmt w:val="bullet"/>
      <w:lvlText w:val=""/>
      <w:lvlJc w:val="left"/>
      <w:pPr>
        <w:tabs>
          <w:tab w:val="num" w:pos="720"/>
        </w:tabs>
        <w:ind w:left="720" w:hanging="360"/>
      </w:pPr>
      <w:rPr>
        <w:rFonts w:ascii="Wingdings" w:hAnsi="Wingdings" w:hint="default"/>
      </w:rPr>
    </w:lvl>
    <w:lvl w:ilvl="1" w:tplc="AA82AD5A">
      <w:start w:val="1"/>
      <w:numFmt w:val="decimal"/>
      <w:lvlText w:val="%2."/>
      <w:lvlJc w:val="left"/>
      <w:pPr>
        <w:tabs>
          <w:tab w:val="num" w:pos="1440"/>
        </w:tabs>
        <w:ind w:left="1440" w:hanging="360"/>
      </w:pPr>
    </w:lvl>
    <w:lvl w:ilvl="2" w:tplc="08841352">
      <w:start w:val="1"/>
      <w:numFmt w:val="decimal"/>
      <w:lvlText w:val="%3."/>
      <w:lvlJc w:val="left"/>
      <w:pPr>
        <w:tabs>
          <w:tab w:val="num" w:pos="2160"/>
        </w:tabs>
        <w:ind w:left="2160" w:hanging="360"/>
      </w:pPr>
    </w:lvl>
    <w:lvl w:ilvl="3" w:tplc="74B8572E">
      <w:start w:val="1"/>
      <w:numFmt w:val="decimal"/>
      <w:lvlText w:val="%4."/>
      <w:lvlJc w:val="left"/>
      <w:pPr>
        <w:tabs>
          <w:tab w:val="num" w:pos="2880"/>
        </w:tabs>
        <w:ind w:left="2880" w:hanging="360"/>
      </w:pPr>
    </w:lvl>
    <w:lvl w:ilvl="4" w:tplc="1C541CDC">
      <w:start w:val="1"/>
      <w:numFmt w:val="decimal"/>
      <w:lvlText w:val="%5."/>
      <w:lvlJc w:val="left"/>
      <w:pPr>
        <w:tabs>
          <w:tab w:val="num" w:pos="3600"/>
        </w:tabs>
        <w:ind w:left="3600" w:hanging="360"/>
      </w:pPr>
    </w:lvl>
    <w:lvl w:ilvl="5" w:tplc="6674C810">
      <w:start w:val="1"/>
      <w:numFmt w:val="decimal"/>
      <w:lvlText w:val="%6."/>
      <w:lvlJc w:val="left"/>
      <w:pPr>
        <w:tabs>
          <w:tab w:val="num" w:pos="4320"/>
        </w:tabs>
        <w:ind w:left="4320" w:hanging="360"/>
      </w:pPr>
    </w:lvl>
    <w:lvl w:ilvl="6" w:tplc="B0BA58A0">
      <w:start w:val="1"/>
      <w:numFmt w:val="decimal"/>
      <w:lvlText w:val="%7."/>
      <w:lvlJc w:val="left"/>
      <w:pPr>
        <w:tabs>
          <w:tab w:val="num" w:pos="5040"/>
        </w:tabs>
        <w:ind w:left="5040" w:hanging="360"/>
      </w:pPr>
    </w:lvl>
    <w:lvl w:ilvl="7" w:tplc="4B7073AE">
      <w:start w:val="1"/>
      <w:numFmt w:val="decimal"/>
      <w:lvlText w:val="%8."/>
      <w:lvlJc w:val="left"/>
      <w:pPr>
        <w:tabs>
          <w:tab w:val="num" w:pos="5760"/>
        </w:tabs>
        <w:ind w:left="5760" w:hanging="360"/>
      </w:pPr>
    </w:lvl>
    <w:lvl w:ilvl="8" w:tplc="33F4A59A">
      <w:start w:val="1"/>
      <w:numFmt w:val="decimal"/>
      <w:lvlText w:val="%9."/>
      <w:lvlJc w:val="left"/>
      <w:pPr>
        <w:tabs>
          <w:tab w:val="num" w:pos="6480"/>
        </w:tabs>
        <w:ind w:left="6480" w:hanging="360"/>
      </w:pPr>
    </w:lvl>
  </w:abstractNum>
  <w:abstractNum w:abstractNumId="7" w15:restartNumberingAfterBreak="0">
    <w:nsid w:val="3909608E"/>
    <w:multiLevelType w:val="hybridMultilevel"/>
    <w:tmpl w:val="EFECC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91830"/>
    <w:multiLevelType w:val="hybridMultilevel"/>
    <w:tmpl w:val="8DEE5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2548"/>
    <w:multiLevelType w:val="hybridMultilevel"/>
    <w:tmpl w:val="D5DA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C21AA"/>
    <w:multiLevelType w:val="hybridMultilevel"/>
    <w:tmpl w:val="09A2FF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03724CE"/>
    <w:multiLevelType w:val="hybridMultilevel"/>
    <w:tmpl w:val="E0F83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51EDF"/>
    <w:multiLevelType w:val="hybridMultilevel"/>
    <w:tmpl w:val="4D32C84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AB296A"/>
    <w:multiLevelType w:val="hybridMultilevel"/>
    <w:tmpl w:val="DC2E554A"/>
    <w:lvl w:ilvl="0" w:tplc="6712769E">
      <w:start w:val="1"/>
      <w:numFmt w:val="decimal"/>
      <w:lvlText w:val="%1."/>
      <w:lvlJc w:val="left"/>
      <w:pPr>
        <w:ind w:left="720" w:hanging="360"/>
      </w:pPr>
      <w:rPr>
        <w:rFonts w:asciiTheme="majorHAnsi" w:hAnsiTheme="maj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60699"/>
    <w:multiLevelType w:val="hybridMultilevel"/>
    <w:tmpl w:val="83E698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76333"/>
    <w:multiLevelType w:val="hybridMultilevel"/>
    <w:tmpl w:val="AC5493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5"/>
  </w:num>
  <w:num w:numId="6">
    <w:abstractNumId w:val="3"/>
  </w:num>
  <w:num w:numId="7">
    <w:abstractNumId w:val="14"/>
  </w:num>
  <w:num w:numId="8">
    <w:abstractNumId w:val="2"/>
  </w:num>
  <w:num w:numId="9">
    <w:abstractNumId w:val="10"/>
  </w:num>
  <w:num w:numId="10">
    <w:abstractNumId w:val="12"/>
  </w:num>
  <w:num w:numId="11">
    <w:abstractNumId w:val="4"/>
  </w:num>
  <w:num w:numId="12">
    <w:abstractNumId w:val="7"/>
  </w:num>
  <w:num w:numId="13">
    <w:abstractNumId w:val="13"/>
  </w:num>
  <w:num w:numId="14">
    <w:abstractNumId w:val="8"/>
  </w:num>
  <w:num w:numId="15">
    <w:abstractNumId w:val="11"/>
  </w:num>
  <w:num w:numId="16">
    <w:abstractNumId w:val="9"/>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bOhQjw10cMYgF/m5eSg8YHurItc=" w:salt="hkkXVQ4MJKHbNtNfW7YF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2FC"/>
    <w:rsid w:val="00006BEB"/>
    <w:rsid w:val="00016427"/>
    <w:rsid w:val="00024749"/>
    <w:rsid w:val="00027D60"/>
    <w:rsid w:val="000316A0"/>
    <w:rsid w:val="000B5133"/>
    <w:rsid w:val="000C20E0"/>
    <w:rsid w:val="000D3920"/>
    <w:rsid w:val="000D5758"/>
    <w:rsid w:val="000E0FC1"/>
    <w:rsid w:val="000F0735"/>
    <w:rsid w:val="00130E0E"/>
    <w:rsid w:val="00143852"/>
    <w:rsid w:val="00166354"/>
    <w:rsid w:val="00207DBD"/>
    <w:rsid w:val="00216EEF"/>
    <w:rsid w:val="00241965"/>
    <w:rsid w:val="002A7A06"/>
    <w:rsid w:val="002E5531"/>
    <w:rsid w:val="002E7A73"/>
    <w:rsid w:val="00367271"/>
    <w:rsid w:val="00372345"/>
    <w:rsid w:val="00406076"/>
    <w:rsid w:val="004352FC"/>
    <w:rsid w:val="004763DB"/>
    <w:rsid w:val="004764DB"/>
    <w:rsid w:val="004933CD"/>
    <w:rsid w:val="00524D2E"/>
    <w:rsid w:val="00525A4C"/>
    <w:rsid w:val="005B4327"/>
    <w:rsid w:val="006553B8"/>
    <w:rsid w:val="006B6E33"/>
    <w:rsid w:val="00711F38"/>
    <w:rsid w:val="00735889"/>
    <w:rsid w:val="00783A47"/>
    <w:rsid w:val="007E26EB"/>
    <w:rsid w:val="007E5D6A"/>
    <w:rsid w:val="007E741E"/>
    <w:rsid w:val="00804E06"/>
    <w:rsid w:val="00880842"/>
    <w:rsid w:val="00880FDB"/>
    <w:rsid w:val="008D1B8C"/>
    <w:rsid w:val="008F4287"/>
    <w:rsid w:val="00915721"/>
    <w:rsid w:val="00940F77"/>
    <w:rsid w:val="00946BD2"/>
    <w:rsid w:val="00963BB5"/>
    <w:rsid w:val="00991149"/>
    <w:rsid w:val="00994009"/>
    <w:rsid w:val="009D0D2D"/>
    <w:rsid w:val="00A56E35"/>
    <w:rsid w:val="00A75EF7"/>
    <w:rsid w:val="00AD1C11"/>
    <w:rsid w:val="00B544EB"/>
    <w:rsid w:val="00B6291C"/>
    <w:rsid w:val="00B66E5C"/>
    <w:rsid w:val="00BB118D"/>
    <w:rsid w:val="00BB3FD1"/>
    <w:rsid w:val="00BB7993"/>
    <w:rsid w:val="00BB7BF9"/>
    <w:rsid w:val="00BF646E"/>
    <w:rsid w:val="00C002DE"/>
    <w:rsid w:val="00C22B88"/>
    <w:rsid w:val="00C52B75"/>
    <w:rsid w:val="00C65D72"/>
    <w:rsid w:val="00CA4485"/>
    <w:rsid w:val="00CB0275"/>
    <w:rsid w:val="00CF7E87"/>
    <w:rsid w:val="00D7247C"/>
    <w:rsid w:val="00DA19B3"/>
    <w:rsid w:val="00DD4212"/>
    <w:rsid w:val="00DF4527"/>
    <w:rsid w:val="00E03AF1"/>
    <w:rsid w:val="00E177C0"/>
    <w:rsid w:val="00E20A0F"/>
    <w:rsid w:val="00E37A76"/>
    <w:rsid w:val="00E54669"/>
    <w:rsid w:val="00ED553A"/>
    <w:rsid w:val="00FC5AA1"/>
    <w:rsid w:val="00FC6972"/>
    <w:rsid w:val="00FD3096"/>
    <w:rsid w:val="00FE40CB"/>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3403B"/>
  <w15:docId w15:val="{F18AA70C-3AF6-4B72-AC21-DECA5EBC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18D"/>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786"/>
    <w:pPr>
      <w:tabs>
        <w:tab w:val="center" w:pos="4680"/>
        <w:tab w:val="right" w:pos="9360"/>
      </w:tabs>
    </w:pPr>
  </w:style>
  <w:style w:type="character" w:customStyle="1" w:styleId="HeaderChar">
    <w:name w:val="Header Char"/>
    <w:basedOn w:val="DefaultParagraphFont"/>
    <w:link w:val="Header"/>
    <w:uiPriority w:val="99"/>
    <w:rsid w:val="00FF7786"/>
    <w:rPr>
      <w:rFonts w:ascii="Calibri" w:hAnsi="Calibri" w:cs="Times New Roman"/>
    </w:rPr>
  </w:style>
  <w:style w:type="paragraph" w:styleId="Footer">
    <w:name w:val="footer"/>
    <w:basedOn w:val="Normal"/>
    <w:link w:val="FooterChar"/>
    <w:uiPriority w:val="99"/>
    <w:unhideWhenUsed/>
    <w:rsid w:val="00FF7786"/>
    <w:pPr>
      <w:tabs>
        <w:tab w:val="center" w:pos="4680"/>
        <w:tab w:val="right" w:pos="9360"/>
      </w:tabs>
    </w:pPr>
  </w:style>
  <w:style w:type="character" w:customStyle="1" w:styleId="FooterChar">
    <w:name w:val="Footer Char"/>
    <w:basedOn w:val="DefaultParagraphFont"/>
    <w:link w:val="Footer"/>
    <w:uiPriority w:val="99"/>
    <w:rsid w:val="00FF7786"/>
    <w:rPr>
      <w:rFonts w:ascii="Calibri" w:hAnsi="Calibri" w:cs="Times New Roman"/>
    </w:rPr>
  </w:style>
  <w:style w:type="paragraph" w:styleId="BalloonText">
    <w:name w:val="Balloon Text"/>
    <w:basedOn w:val="Normal"/>
    <w:link w:val="BalloonTextChar"/>
    <w:uiPriority w:val="99"/>
    <w:semiHidden/>
    <w:unhideWhenUsed/>
    <w:rsid w:val="00BB118D"/>
    <w:rPr>
      <w:rFonts w:ascii="Tahoma" w:hAnsi="Tahoma" w:cs="Tahoma"/>
      <w:sz w:val="16"/>
      <w:szCs w:val="16"/>
    </w:rPr>
  </w:style>
  <w:style w:type="character" w:customStyle="1" w:styleId="BalloonTextChar">
    <w:name w:val="Balloon Text Char"/>
    <w:basedOn w:val="DefaultParagraphFont"/>
    <w:link w:val="BalloonText"/>
    <w:uiPriority w:val="99"/>
    <w:semiHidden/>
    <w:rsid w:val="00BB118D"/>
    <w:rPr>
      <w:rFonts w:ascii="Tahoma" w:hAnsi="Tahoma" w:cs="Tahoma"/>
      <w:sz w:val="16"/>
      <w:szCs w:val="16"/>
    </w:rPr>
  </w:style>
  <w:style w:type="paragraph" w:styleId="NormalWeb">
    <w:name w:val="Normal (Web)"/>
    <w:basedOn w:val="Normal"/>
    <w:uiPriority w:val="99"/>
    <w:semiHidden/>
    <w:unhideWhenUsed/>
    <w:rsid w:val="004764DB"/>
    <w:pPr>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rsid w:val="00FD3096"/>
    <w:pPr>
      <w:spacing w:after="200"/>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0E0FC1"/>
    <w:rPr>
      <w:sz w:val="16"/>
      <w:szCs w:val="16"/>
    </w:rPr>
  </w:style>
  <w:style w:type="paragraph" w:styleId="CommentText">
    <w:name w:val="annotation text"/>
    <w:basedOn w:val="Normal"/>
    <w:link w:val="CommentTextChar"/>
    <w:uiPriority w:val="99"/>
    <w:semiHidden/>
    <w:unhideWhenUsed/>
    <w:rsid w:val="000E0FC1"/>
    <w:rPr>
      <w:sz w:val="20"/>
      <w:szCs w:val="20"/>
    </w:rPr>
  </w:style>
  <w:style w:type="character" w:customStyle="1" w:styleId="CommentTextChar">
    <w:name w:val="Comment Text Char"/>
    <w:basedOn w:val="DefaultParagraphFont"/>
    <w:link w:val="CommentText"/>
    <w:uiPriority w:val="99"/>
    <w:semiHidden/>
    <w:rsid w:val="000E0FC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0FC1"/>
    <w:rPr>
      <w:b/>
      <w:bCs/>
    </w:rPr>
  </w:style>
  <w:style w:type="character" w:customStyle="1" w:styleId="CommentSubjectChar">
    <w:name w:val="Comment Subject Char"/>
    <w:basedOn w:val="CommentTextChar"/>
    <w:link w:val="CommentSubject"/>
    <w:uiPriority w:val="99"/>
    <w:semiHidden/>
    <w:rsid w:val="000E0FC1"/>
    <w:rPr>
      <w:rFonts w:ascii="Calibri" w:hAnsi="Calibri" w:cs="Times New Roman"/>
      <w:b/>
      <w:bCs/>
      <w:sz w:val="20"/>
      <w:szCs w:val="20"/>
    </w:rPr>
  </w:style>
  <w:style w:type="paragraph" w:styleId="Revision">
    <w:name w:val="Revision"/>
    <w:hidden/>
    <w:uiPriority w:val="99"/>
    <w:semiHidden/>
    <w:rsid w:val="000E0FC1"/>
    <w:pPr>
      <w:spacing w:line="240" w:lineRule="auto"/>
    </w:pPr>
    <w:rPr>
      <w:rFonts w:ascii="Calibri" w:hAnsi="Calibri" w:cs="Times New Roman"/>
    </w:rPr>
  </w:style>
  <w:style w:type="paragraph" w:customStyle="1" w:styleId="a">
    <w:name w:val="#"/>
    <w:rsid w:val="00B66E5C"/>
    <w:pPr>
      <w:spacing w:line="240" w:lineRule="atLeast"/>
      <w:ind w:left="720"/>
    </w:pPr>
    <w:rPr>
      <w:rFonts w:ascii="Book Antiqua" w:eastAsia="Times New Roman" w:hAnsi="Book Antiqua" w:cs="Times New Roman"/>
      <w:color w:val="000000"/>
      <w:sz w:val="20"/>
      <w:szCs w:val="20"/>
    </w:rPr>
  </w:style>
  <w:style w:type="character" w:styleId="Hyperlink">
    <w:name w:val="Hyperlink"/>
    <w:basedOn w:val="DefaultParagraphFont"/>
    <w:uiPriority w:val="99"/>
    <w:unhideWhenUsed/>
    <w:rsid w:val="002E5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86239">
      <w:bodyDiv w:val="1"/>
      <w:marLeft w:val="0"/>
      <w:marRight w:val="0"/>
      <w:marTop w:val="0"/>
      <w:marBottom w:val="0"/>
      <w:divBdr>
        <w:top w:val="none" w:sz="0" w:space="0" w:color="auto"/>
        <w:left w:val="none" w:sz="0" w:space="0" w:color="auto"/>
        <w:bottom w:val="none" w:sz="0" w:space="0" w:color="auto"/>
        <w:right w:val="none" w:sz="0" w:space="0" w:color="auto"/>
      </w:divBdr>
    </w:div>
    <w:div w:id="13552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ergy.gov/eere/femp/downloads/fupwg-winter-2014-meeting-agenda-report-and-present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56FFDD8CAB44B76778002FDC18A0" ma:contentTypeVersion="0" ma:contentTypeDescription="Create a new document." ma:contentTypeScope="" ma:versionID="c238586a89b841a86d728b79f5e13f7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E8AD5-ABD2-4796-8A4A-B3D4E222A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20E1E7-4812-4B9C-8F66-5FAC035F51A6}">
  <ds:schemaRefs>
    <ds:schemaRef ds:uri="http://schemas.microsoft.com/office/2006/metadata/properties"/>
  </ds:schemaRefs>
</ds:datastoreItem>
</file>

<file path=customXml/itemProps3.xml><?xml version="1.0" encoding="utf-8"?>
<ds:datastoreItem xmlns:ds="http://schemas.openxmlformats.org/officeDocument/2006/customXml" ds:itemID="{1EE22F52-6198-465F-98CA-C127EEBA2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Terry R.</dc:creator>
  <cp:lastModifiedBy>Travis, Jennifer M.</cp:lastModifiedBy>
  <cp:revision>2</cp:revision>
  <cp:lastPrinted>2014-10-06T17:59:00Z</cp:lastPrinted>
  <dcterms:created xsi:type="dcterms:W3CDTF">2018-11-20T16:55:00Z</dcterms:created>
  <dcterms:modified xsi:type="dcterms:W3CDTF">2018-11-20T16:55:00Z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0x010100347156FFDD8CAB44B76778002FDC18A0</vt:lpwstr>
  </property>
</Properties>
</file>